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0"/>
        <w:tblW w:w="0" w:type="auto"/>
        <w:tblLook w:val="01E0" w:firstRow="1" w:lastRow="1" w:firstColumn="1" w:lastColumn="1" w:noHBand="0" w:noVBand="0"/>
      </w:tblPr>
      <w:tblGrid>
        <w:gridCol w:w="3679"/>
        <w:gridCol w:w="2442"/>
        <w:gridCol w:w="3660"/>
      </w:tblGrid>
      <w:tr w:rsidR="00C72D5D" w:rsidRPr="00D54543" w14:paraId="250805AF" w14:textId="77777777" w:rsidTr="00C72D5D">
        <w:trPr>
          <w:trHeight w:val="1618"/>
        </w:trPr>
        <w:tc>
          <w:tcPr>
            <w:tcW w:w="3679" w:type="dxa"/>
            <w:vAlign w:val="center"/>
          </w:tcPr>
          <w:p w14:paraId="06129022" w14:textId="77777777" w:rsidR="00C72D5D" w:rsidRPr="00A3150D" w:rsidRDefault="00C72D5D" w:rsidP="00D52530">
            <w:pPr>
              <w:spacing w:before="120" w:after="120" w:line="360" w:lineRule="auto"/>
              <w:ind w:right="237"/>
              <w:jc w:val="center"/>
              <w:rPr>
                <w:b/>
              </w:rPr>
            </w:pPr>
            <w:r w:rsidRPr="00A3150D">
              <w:rPr>
                <w:rFonts w:ascii="Times New Roman" w:hAnsi="Times New Roman"/>
                <w:sz w:val="24"/>
                <w:szCs w:val="24"/>
                <w:lang w:val="en-GB"/>
              </w:rPr>
              <w:br w:type="page"/>
            </w:r>
            <w:r w:rsidRPr="00A3150D">
              <w:rPr>
                <w:rFonts w:ascii="Times New Roman" w:hAnsi="Times New Roman"/>
                <w:noProof/>
                <w:sz w:val="24"/>
                <w:szCs w:val="24"/>
                <w:lang w:val="en-GB"/>
              </w:rPr>
              <w:drawing>
                <wp:inline distT="0" distB="0" distL="0" distR="0" wp14:anchorId="3FCEE277" wp14:editId="7ED2CB8A">
                  <wp:extent cx="1955800" cy="1104900"/>
                  <wp:effectExtent l="0" t="0" r="6350" b="0"/>
                  <wp:docPr id="294942608" name="Εικόνα 294942608"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42608" name="Εικόνα 294942608"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800" cy="1104900"/>
                          </a:xfrm>
                          <a:prstGeom prst="rect">
                            <a:avLst/>
                          </a:prstGeom>
                          <a:noFill/>
                          <a:ln>
                            <a:noFill/>
                          </a:ln>
                        </pic:spPr>
                      </pic:pic>
                    </a:graphicData>
                  </a:graphic>
                </wp:inline>
              </w:drawing>
            </w:r>
          </w:p>
        </w:tc>
        <w:tc>
          <w:tcPr>
            <w:tcW w:w="2442" w:type="dxa"/>
            <w:vAlign w:val="center"/>
          </w:tcPr>
          <w:p w14:paraId="11300F05" w14:textId="2940CD4E" w:rsidR="00C72D5D" w:rsidRPr="00C72D5D" w:rsidRDefault="00C72D5D" w:rsidP="00D52530">
            <w:pPr>
              <w:spacing w:before="120" w:after="120" w:line="360" w:lineRule="auto"/>
              <w:ind w:right="237"/>
              <w:jc w:val="center"/>
              <w:rPr>
                <w:b/>
                <w:spacing w:val="-5"/>
                <w:lang w:val="en-US"/>
              </w:rPr>
            </w:pPr>
            <w:r>
              <w:rPr>
                <w:b/>
                <w:spacing w:val="-5"/>
                <w:lang w:val="en-US"/>
              </w:rPr>
              <w:t xml:space="preserve"> </w:t>
            </w:r>
          </w:p>
        </w:tc>
        <w:tc>
          <w:tcPr>
            <w:tcW w:w="3660" w:type="dxa"/>
            <w:vAlign w:val="center"/>
          </w:tcPr>
          <w:p w14:paraId="7BBCDBCD" w14:textId="77777777" w:rsidR="00C72D5D" w:rsidRPr="00A3150D" w:rsidRDefault="00C72D5D" w:rsidP="00C72D5D">
            <w:pPr>
              <w:keepLines/>
              <w:tabs>
                <w:tab w:val="left" w:pos="720"/>
                <w:tab w:val="left" w:pos="2160"/>
              </w:tabs>
              <w:spacing w:after="0"/>
              <w:ind w:left="1005" w:right="-90"/>
              <w:rPr>
                <w:b/>
                <w:color w:val="666699"/>
                <w:spacing w:val="-5"/>
                <w:sz w:val="18"/>
                <w:szCs w:val="18"/>
              </w:rPr>
            </w:pPr>
            <w:r w:rsidRPr="00A3150D">
              <w:rPr>
                <w:b/>
                <w:color w:val="666699"/>
                <w:spacing w:val="-5"/>
                <w:sz w:val="18"/>
                <w:szCs w:val="18"/>
              </w:rPr>
              <w:t>Πειραιώς 132</w:t>
            </w:r>
          </w:p>
          <w:p w14:paraId="17492F07" w14:textId="77777777" w:rsidR="00C72D5D" w:rsidRPr="00A3150D" w:rsidRDefault="00C72D5D" w:rsidP="00C72D5D">
            <w:pPr>
              <w:keepLines/>
              <w:tabs>
                <w:tab w:val="left" w:pos="720"/>
                <w:tab w:val="left" w:pos="2160"/>
              </w:tabs>
              <w:spacing w:after="0"/>
              <w:ind w:left="1005" w:right="-90"/>
              <w:rPr>
                <w:b/>
                <w:color w:val="666699"/>
                <w:spacing w:val="-5"/>
                <w:sz w:val="18"/>
                <w:szCs w:val="18"/>
              </w:rPr>
            </w:pPr>
            <w:r w:rsidRPr="00A3150D">
              <w:rPr>
                <w:b/>
                <w:color w:val="666699"/>
                <w:spacing w:val="-5"/>
                <w:sz w:val="18"/>
                <w:szCs w:val="18"/>
              </w:rPr>
              <w:t>118 54 Αθήνα</w:t>
            </w:r>
          </w:p>
          <w:p w14:paraId="6D9DD437" w14:textId="77777777" w:rsidR="00C72D5D" w:rsidRPr="00A3150D" w:rsidRDefault="00C72D5D" w:rsidP="00C72D5D">
            <w:pPr>
              <w:keepLines/>
              <w:tabs>
                <w:tab w:val="left" w:pos="720"/>
                <w:tab w:val="left" w:pos="1713"/>
              </w:tabs>
              <w:spacing w:after="0"/>
              <w:ind w:left="1005" w:right="-90"/>
              <w:rPr>
                <w:b/>
                <w:color w:val="666699"/>
                <w:spacing w:val="-5"/>
                <w:sz w:val="18"/>
                <w:szCs w:val="18"/>
              </w:rPr>
            </w:pPr>
            <w:proofErr w:type="spellStart"/>
            <w:r w:rsidRPr="00A3150D">
              <w:rPr>
                <w:b/>
                <w:color w:val="666699"/>
                <w:spacing w:val="-5"/>
                <w:sz w:val="18"/>
                <w:szCs w:val="18"/>
              </w:rPr>
              <w:t>Τηλ</w:t>
            </w:r>
            <w:proofErr w:type="spellEnd"/>
            <w:r w:rsidRPr="00A3150D">
              <w:rPr>
                <w:b/>
                <w:color w:val="666699"/>
                <w:spacing w:val="-5"/>
                <w:sz w:val="18"/>
                <w:szCs w:val="18"/>
              </w:rPr>
              <w:t>.:</w:t>
            </w:r>
            <w:r w:rsidRPr="00A3150D">
              <w:rPr>
                <w:b/>
                <w:color w:val="666699"/>
                <w:spacing w:val="-5"/>
                <w:sz w:val="18"/>
                <w:szCs w:val="18"/>
              </w:rPr>
              <w:tab/>
              <w:t>210-3727400</w:t>
            </w:r>
          </w:p>
          <w:p w14:paraId="5AE3366B" w14:textId="77777777" w:rsidR="00C72D5D" w:rsidRPr="00D54543" w:rsidRDefault="00C72D5D" w:rsidP="00C72D5D">
            <w:pPr>
              <w:keepLines/>
              <w:tabs>
                <w:tab w:val="left" w:pos="720"/>
                <w:tab w:val="left" w:pos="1713"/>
              </w:tabs>
              <w:spacing w:after="0"/>
              <w:ind w:left="1005" w:right="-90"/>
              <w:rPr>
                <w:b/>
                <w:color w:val="666699"/>
                <w:spacing w:val="-5"/>
                <w:sz w:val="18"/>
                <w:szCs w:val="18"/>
              </w:rPr>
            </w:pPr>
            <w:r w:rsidRPr="00A3150D">
              <w:rPr>
                <w:b/>
                <w:color w:val="666699"/>
                <w:spacing w:val="-5"/>
                <w:sz w:val="18"/>
                <w:szCs w:val="18"/>
              </w:rPr>
              <w:t>E-</w:t>
            </w:r>
            <w:proofErr w:type="spellStart"/>
            <w:r w:rsidRPr="00A3150D">
              <w:rPr>
                <w:b/>
                <w:color w:val="666699"/>
                <w:spacing w:val="-5"/>
                <w:sz w:val="18"/>
                <w:szCs w:val="18"/>
              </w:rPr>
              <w:t>mail</w:t>
            </w:r>
            <w:proofErr w:type="spellEnd"/>
            <w:r w:rsidRPr="00A3150D">
              <w:rPr>
                <w:b/>
                <w:color w:val="666699"/>
                <w:spacing w:val="-5"/>
                <w:sz w:val="18"/>
                <w:szCs w:val="18"/>
              </w:rPr>
              <w:t>:</w:t>
            </w:r>
            <w:r w:rsidRPr="00A3150D">
              <w:rPr>
                <w:b/>
                <w:color w:val="666699"/>
                <w:spacing w:val="-5"/>
                <w:sz w:val="18"/>
                <w:szCs w:val="18"/>
              </w:rPr>
              <w:tab/>
            </w:r>
            <w:r w:rsidRPr="00D54543">
              <w:rPr>
                <w:b/>
                <w:color w:val="0000FF"/>
                <w:spacing w:val="-5"/>
                <w:sz w:val="18"/>
                <w:szCs w:val="18"/>
                <w:u w:val="single"/>
              </w:rPr>
              <w:t>info@rae.gr</w:t>
            </w:r>
          </w:p>
          <w:p w14:paraId="59AB8B33" w14:textId="77777777" w:rsidR="00C72D5D" w:rsidRPr="00A3150D" w:rsidRDefault="00C72D5D" w:rsidP="00C72D5D">
            <w:pPr>
              <w:keepLines/>
              <w:tabs>
                <w:tab w:val="left" w:pos="720"/>
                <w:tab w:val="left" w:pos="1713"/>
                <w:tab w:val="left" w:pos="2160"/>
              </w:tabs>
              <w:spacing w:after="0"/>
              <w:ind w:left="1005" w:right="237"/>
              <w:rPr>
                <w:b/>
                <w:color w:val="666699"/>
                <w:spacing w:val="-5"/>
                <w:sz w:val="18"/>
                <w:szCs w:val="18"/>
              </w:rPr>
            </w:pPr>
            <w:r w:rsidRPr="00A3150D">
              <w:rPr>
                <w:b/>
                <w:color w:val="666699"/>
                <w:spacing w:val="-5"/>
                <w:sz w:val="18"/>
                <w:szCs w:val="18"/>
              </w:rPr>
              <w:t>Web:</w:t>
            </w:r>
            <w:r w:rsidRPr="00A3150D">
              <w:rPr>
                <w:b/>
                <w:color w:val="666699"/>
                <w:spacing w:val="-5"/>
                <w:sz w:val="18"/>
                <w:szCs w:val="18"/>
              </w:rPr>
              <w:tab/>
            </w:r>
            <w:hyperlink r:id="rId9" w:history="1">
              <w:r w:rsidRPr="00830704">
                <w:rPr>
                  <w:rStyle w:val="-"/>
                  <w:b/>
                  <w:spacing w:val="-5"/>
                  <w:sz w:val="18"/>
                  <w:szCs w:val="18"/>
                </w:rPr>
                <w:t>www.rae.gr</w:t>
              </w:r>
            </w:hyperlink>
          </w:p>
        </w:tc>
      </w:tr>
    </w:tbl>
    <w:p w14:paraId="6BFE9A5F" w14:textId="068BF1AB" w:rsidR="000546D5" w:rsidRPr="008F67BA" w:rsidRDefault="000546D5" w:rsidP="00E76414">
      <w:pPr>
        <w:pStyle w:val="a3"/>
        <w:rPr>
          <w:lang w:val="en-US"/>
        </w:rPr>
      </w:pPr>
    </w:p>
    <w:p w14:paraId="02607185" w14:textId="4BB2C3D4" w:rsidR="000546D5" w:rsidRPr="004C0A30" w:rsidRDefault="000546D5" w:rsidP="00E76414">
      <w:pPr>
        <w:pStyle w:val="a3"/>
      </w:pPr>
    </w:p>
    <w:p w14:paraId="01B3B0F2" w14:textId="77777777" w:rsidR="000546D5" w:rsidRPr="004C0A30" w:rsidRDefault="000546D5" w:rsidP="00E76414">
      <w:pPr>
        <w:pStyle w:val="a3"/>
      </w:pPr>
    </w:p>
    <w:p w14:paraId="6597EC1C" w14:textId="77777777" w:rsidR="000546D5" w:rsidRPr="004C0A30" w:rsidRDefault="000546D5" w:rsidP="00E76414">
      <w:pPr>
        <w:pStyle w:val="a3"/>
      </w:pPr>
    </w:p>
    <w:p w14:paraId="1049D0DC" w14:textId="77777777" w:rsidR="000546D5" w:rsidRPr="007F6109" w:rsidRDefault="000546D5" w:rsidP="00E76414">
      <w:pPr>
        <w:pStyle w:val="a3"/>
      </w:pPr>
    </w:p>
    <w:p w14:paraId="6A0AC371" w14:textId="77777777" w:rsidR="00C72D5D" w:rsidRDefault="00C72D5D" w:rsidP="00733B6B">
      <w:pPr>
        <w:jc w:val="center"/>
        <w:rPr>
          <w:b/>
          <w:bCs/>
          <w:sz w:val="24"/>
          <w:szCs w:val="24"/>
        </w:rPr>
      </w:pPr>
    </w:p>
    <w:p w14:paraId="18059B59" w14:textId="77777777" w:rsidR="00C72D5D" w:rsidRDefault="00C72D5D" w:rsidP="00733B6B">
      <w:pPr>
        <w:jc w:val="center"/>
        <w:rPr>
          <w:b/>
          <w:bCs/>
          <w:sz w:val="24"/>
          <w:szCs w:val="24"/>
        </w:rPr>
      </w:pPr>
    </w:p>
    <w:p w14:paraId="77F795E8" w14:textId="77777777" w:rsidR="00C72D5D" w:rsidRDefault="00C72D5D" w:rsidP="00733B6B">
      <w:pPr>
        <w:jc w:val="center"/>
        <w:rPr>
          <w:b/>
          <w:bCs/>
          <w:sz w:val="24"/>
          <w:szCs w:val="24"/>
        </w:rPr>
      </w:pPr>
    </w:p>
    <w:p w14:paraId="753A8D2E" w14:textId="2A256745" w:rsidR="00055D75" w:rsidRPr="00733B6B" w:rsidRDefault="00856EDC" w:rsidP="00733B6B">
      <w:pPr>
        <w:jc w:val="center"/>
        <w:rPr>
          <w:b/>
          <w:bCs/>
          <w:sz w:val="24"/>
          <w:szCs w:val="24"/>
        </w:rPr>
      </w:pPr>
      <w:r w:rsidRPr="00733B6B">
        <w:rPr>
          <w:b/>
          <w:bCs/>
          <w:sz w:val="24"/>
          <w:szCs w:val="24"/>
        </w:rPr>
        <w:t xml:space="preserve">ΡΥΘΜΙΣΤΙΚΗ ΑΡΧΗ </w:t>
      </w:r>
      <w:r w:rsidR="00BF1FB3" w:rsidRPr="00733B6B">
        <w:rPr>
          <w:b/>
          <w:bCs/>
          <w:sz w:val="24"/>
          <w:szCs w:val="24"/>
        </w:rPr>
        <w:t xml:space="preserve">ΑΠΟΒΛΗΤΩΝ, </w:t>
      </w:r>
      <w:r w:rsidRPr="00733B6B">
        <w:rPr>
          <w:b/>
          <w:bCs/>
          <w:sz w:val="24"/>
          <w:szCs w:val="24"/>
        </w:rPr>
        <w:t>ΕΝΕΡΓΕΙΑΣ</w:t>
      </w:r>
      <w:r w:rsidR="00BF1FB3" w:rsidRPr="00733B6B">
        <w:rPr>
          <w:b/>
          <w:bCs/>
          <w:sz w:val="24"/>
          <w:szCs w:val="24"/>
        </w:rPr>
        <w:t xml:space="preserve"> ΚΑΙ ΥΔΑΤΩΝ</w:t>
      </w:r>
    </w:p>
    <w:p w14:paraId="3C75F90D" w14:textId="6949A60B" w:rsidR="00380FB1" w:rsidRPr="00733B6B" w:rsidRDefault="00380FB1" w:rsidP="00733B6B">
      <w:pPr>
        <w:jc w:val="center"/>
        <w:rPr>
          <w:b/>
          <w:bCs/>
          <w:sz w:val="24"/>
          <w:szCs w:val="24"/>
        </w:rPr>
      </w:pPr>
      <w:r w:rsidRPr="00733B6B">
        <w:rPr>
          <w:b/>
          <w:bCs/>
          <w:sz w:val="24"/>
          <w:szCs w:val="24"/>
        </w:rPr>
        <w:t>(KΛΑΔΟΣ ΕΝΕΡΓΕΙΑΣ)</w:t>
      </w:r>
    </w:p>
    <w:p w14:paraId="4557F22F" w14:textId="77777777" w:rsidR="00380FB1" w:rsidRPr="00733B6B" w:rsidRDefault="00380FB1" w:rsidP="00733B6B">
      <w:pPr>
        <w:jc w:val="center"/>
        <w:rPr>
          <w:b/>
          <w:bCs/>
          <w:sz w:val="24"/>
          <w:szCs w:val="24"/>
        </w:rPr>
      </w:pPr>
    </w:p>
    <w:p w14:paraId="7ADE3480" w14:textId="1D43A5A5" w:rsidR="000546D5" w:rsidRPr="00733B6B" w:rsidRDefault="00856EDC" w:rsidP="00733B6B">
      <w:pPr>
        <w:jc w:val="center"/>
        <w:rPr>
          <w:b/>
          <w:bCs/>
          <w:sz w:val="24"/>
          <w:szCs w:val="24"/>
        </w:rPr>
      </w:pPr>
      <w:bookmarkStart w:id="0" w:name="_Hlk137810000"/>
      <w:r w:rsidRPr="00733B6B">
        <w:rPr>
          <w:b/>
          <w:bCs/>
          <w:sz w:val="24"/>
          <w:szCs w:val="24"/>
        </w:rPr>
        <w:t xml:space="preserve">ΠΡΟΚΗΡΥΞΗ </w:t>
      </w:r>
      <w:r w:rsidR="00F10AD0" w:rsidRPr="00733B6B">
        <w:rPr>
          <w:b/>
          <w:bCs/>
          <w:sz w:val="24"/>
          <w:szCs w:val="24"/>
        </w:rPr>
        <w:t xml:space="preserve">Ρ.Α.Α.Ε.Υ. </w:t>
      </w:r>
      <w:r w:rsidR="004115FC" w:rsidRPr="00733B6B">
        <w:rPr>
          <w:b/>
          <w:bCs/>
          <w:sz w:val="24"/>
          <w:szCs w:val="24"/>
        </w:rPr>
        <w:t>1/</w:t>
      </w:r>
      <w:r w:rsidRPr="00733B6B">
        <w:rPr>
          <w:b/>
          <w:bCs/>
          <w:sz w:val="24"/>
          <w:szCs w:val="24"/>
        </w:rPr>
        <w:t>202</w:t>
      </w:r>
      <w:r w:rsidR="005C2EA4" w:rsidRPr="00733B6B">
        <w:rPr>
          <w:b/>
          <w:bCs/>
          <w:sz w:val="24"/>
          <w:szCs w:val="24"/>
        </w:rPr>
        <w:t>3</w:t>
      </w:r>
    </w:p>
    <w:bookmarkEnd w:id="0"/>
    <w:p w14:paraId="399115A0" w14:textId="77777777" w:rsidR="000546D5" w:rsidRPr="004E7B57" w:rsidRDefault="000546D5" w:rsidP="00E76414">
      <w:pPr>
        <w:pStyle w:val="a3"/>
      </w:pPr>
    </w:p>
    <w:p w14:paraId="042844CF" w14:textId="77777777" w:rsidR="000546D5" w:rsidRDefault="000546D5" w:rsidP="00E76414">
      <w:pPr>
        <w:pStyle w:val="a3"/>
      </w:pPr>
    </w:p>
    <w:p w14:paraId="24BB7A95" w14:textId="77777777" w:rsidR="001A6C8E" w:rsidRDefault="001A6C8E" w:rsidP="00E76414">
      <w:pPr>
        <w:pStyle w:val="a3"/>
      </w:pPr>
    </w:p>
    <w:p w14:paraId="75D51FCC" w14:textId="77777777" w:rsidR="001A6C8E" w:rsidRDefault="001A6C8E" w:rsidP="00E76414">
      <w:pPr>
        <w:pStyle w:val="a3"/>
      </w:pPr>
    </w:p>
    <w:p w14:paraId="6DF0F9E5" w14:textId="77777777" w:rsidR="001A6C8E" w:rsidRDefault="001A6C8E" w:rsidP="00E76414">
      <w:pPr>
        <w:pStyle w:val="a3"/>
      </w:pPr>
    </w:p>
    <w:p w14:paraId="7FC2E03C" w14:textId="77777777" w:rsidR="001A6C8E" w:rsidRDefault="001A6C8E" w:rsidP="00E76414">
      <w:pPr>
        <w:pStyle w:val="a3"/>
      </w:pPr>
    </w:p>
    <w:p w14:paraId="03FDA4E3" w14:textId="77777777" w:rsidR="001A6C8E" w:rsidRDefault="001A6C8E" w:rsidP="00E76414">
      <w:pPr>
        <w:pStyle w:val="a3"/>
      </w:pPr>
    </w:p>
    <w:p w14:paraId="2BB820C6" w14:textId="77777777" w:rsidR="001A6C8E" w:rsidRDefault="001A6C8E" w:rsidP="00E76414">
      <w:pPr>
        <w:pStyle w:val="a3"/>
      </w:pPr>
    </w:p>
    <w:p w14:paraId="6B7D9464" w14:textId="77777777" w:rsidR="001A6C8E" w:rsidRPr="004E7B57" w:rsidRDefault="001A6C8E" w:rsidP="00E76414">
      <w:pPr>
        <w:pStyle w:val="a3"/>
      </w:pPr>
    </w:p>
    <w:p w14:paraId="17E46F73" w14:textId="77777777" w:rsidR="000546D5" w:rsidRPr="00733B6B" w:rsidRDefault="000546D5" w:rsidP="00733B6B">
      <w:pPr>
        <w:rPr>
          <w:b/>
          <w:bCs/>
          <w:sz w:val="24"/>
          <w:szCs w:val="24"/>
        </w:rPr>
      </w:pPr>
    </w:p>
    <w:p w14:paraId="098E09F2" w14:textId="5F243B89" w:rsidR="00E76414" w:rsidRPr="00733B6B" w:rsidRDefault="00E8573B" w:rsidP="00733B6B">
      <w:pPr>
        <w:rPr>
          <w:b/>
          <w:bCs/>
          <w:sz w:val="24"/>
          <w:szCs w:val="24"/>
        </w:rPr>
      </w:pPr>
      <w:r w:rsidRPr="00733B6B">
        <w:rPr>
          <w:b/>
          <w:bCs/>
          <w:sz w:val="24"/>
          <w:szCs w:val="24"/>
        </w:rPr>
        <w:t xml:space="preserve">ΠΡΩΤΗ </w:t>
      </w:r>
      <w:r w:rsidR="00923E5B" w:rsidRPr="00733B6B">
        <w:rPr>
          <w:b/>
          <w:bCs/>
          <w:sz w:val="24"/>
          <w:szCs w:val="24"/>
        </w:rPr>
        <w:t xml:space="preserve">(Α΄) </w:t>
      </w:r>
      <w:r w:rsidRPr="00733B6B">
        <w:rPr>
          <w:b/>
          <w:bCs/>
          <w:sz w:val="24"/>
          <w:szCs w:val="24"/>
        </w:rPr>
        <w:t xml:space="preserve">ΑΝΤΑΓΩΝΙΣΤΙΚΗ ΔΙΑΔΙΚΑΣΙΑ </w:t>
      </w:r>
      <w:bookmarkStart w:id="1" w:name="_Hlk125899543"/>
      <w:r w:rsidRPr="00733B6B">
        <w:rPr>
          <w:b/>
          <w:bCs/>
          <w:sz w:val="24"/>
          <w:szCs w:val="24"/>
        </w:rPr>
        <w:t>ΥΠΟΒΟΛΗΣ ΠΡΟΣΦΟΡΩΝ</w:t>
      </w:r>
      <w:r w:rsidR="0065260A" w:rsidRPr="00733B6B">
        <w:rPr>
          <w:b/>
          <w:bCs/>
          <w:sz w:val="24"/>
          <w:szCs w:val="24"/>
        </w:rPr>
        <w:t xml:space="preserve"> </w:t>
      </w:r>
      <w:r w:rsidRPr="00733B6B">
        <w:rPr>
          <w:b/>
          <w:bCs/>
          <w:sz w:val="24"/>
          <w:szCs w:val="24"/>
        </w:rPr>
        <w:t xml:space="preserve">ΓΙΑ </w:t>
      </w:r>
      <w:r w:rsidR="0065260A" w:rsidRPr="00733B6B">
        <w:rPr>
          <w:b/>
          <w:bCs/>
          <w:sz w:val="24"/>
          <w:szCs w:val="24"/>
        </w:rPr>
        <w:t xml:space="preserve">ΤΗ ΧΟΡΗΓΗΣΗ </w:t>
      </w:r>
      <w:r w:rsidR="00C11F23" w:rsidRPr="00733B6B">
        <w:rPr>
          <w:b/>
          <w:bCs/>
          <w:sz w:val="24"/>
          <w:szCs w:val="24"/>
        </w:rPr>
        <w:t xml:space="preserve">ΕΠΕΝΔΥΤΙΚΗΣ ΚΑΙ </w:t>
      </w:r>
      <w:r w:rsidR="0065260A" w:rsidRPr="00733B6B">
        <w:rPr>
          <w:b/>
          <w:bCs/>
          <w:sz w:val="24"/>
          <w:szCs w:val="24"/>
        </w:rPr>
        <w:t xml:space="preserve">ΛΕΙΤΟΥΡΓΙΚΗΣ ΕΝΙΣΧΥΣΗΣ ΣΕ ΣΤΑΘΜΟΥΣ ΑΠΟΘΗΚΕΥΣΗΣ ΗΛΕΚΤΡΙΚΗΣ ΕΝΕΡΓΕΙΑΣ </w:t>
      </w:r>
      <w:r w:rsidR="004115FC" w:rsidRPr="00733B6B">
        <w:rPr>
          <w:b/>
          <w:bCs/>
          <w:sz w:val="24"/>
          <w:szCs w:val="24"/>
        </w:rPr>
        <w:t>(Ά</w:t>
      </w:r>
      <w:r w:rsidR="0065260A" w:rsidRPr="00733B6B">
        <w:rPr>
          <w:b/>
          <w:bCs/>
          <w:sz w:val="24"/>
          <w:szCs w:val="24"/>
        </w:rPr>
        <w:t>ΡΘΡΟ 143ΣΤ ΤΟΥ Ν. 4001/2011 (Α’ 179)</w:t>
      </w:r>
    </w:p>
    <w:p w14:paraId="0E8C4460" w14:textId="77777777" w:rsidR="00F10AD0" w:rsidRDefault="00F10AD0" w:rsidP="00E76414"/>
    <w:p w14:paraId="2EE6D7BD" w14:textId="77777777" w:rsidR="00F10AD0" w:rsidRDefault="00F10AD0" w:rsidP="00E76414"/>
    <w:p w14:paraId="3F3AA3CD" w14:textId="77777777" w:rsidR="00F10AD0" w:rsidRDefault="00F10AD0" w:rsidP="00E76414"/>
    <w:p w14:paraId="7D337CA8" w14:textId="77777777" w:rsidR="00F10AD0" w:rsidRDefault="00F10AD0" w:rsidP="00E76414"/>
    <w:p w14:paraId="73280C2B" w14:textId="77777777" w:rsidR="00F10AD0" w:rsidRDefault="00F10AD0" w:rsidP="00E76414"/>
    <w:p w14:paraId="431F0BAC" w14:textId="77777777" w:rsidR="00F10AD0" w:rsidRDefault="00F10AD0" w:rsidP="00E76414"/>
    <w:p w14:paraId="0865990F" w14:textId="77777777" w:rsidR="00F10AD0" w:rsidRDefault="00F10AD0" w:rsidP="00E76414"/>
    <w:p w14:paraId="697DB2AC" w14:textId="77777777" w:rsidR="00F10AD0" w:rsidRDefault="00F10AD0" w:rsidP="00E76414"/>
    <w:p w14:paraId="23973155" w14:textId="77777777" w:rsidR="00F10AD0" w:rsidRDefault="00F10AD0" w:rsidP="00E76414"/>
    <w:p w14:paraId="5D755437" w14:textId="77777777" w:rsidR="00F10AD0" w:rsidRDefault="00F10AD0" w:rsidP="00E76414"/>
    <w:p w14:paraId="424DF756" w14:textId="77777777" w:rsidR="00F10AD0" w:rsidRDefault="00F10AD0" w:rsidP="00E76414"/>
    <w:p w14:paraId="2D658B2A" w14:textId="77777777" w:rsidR="00F10AD0" w:rsidRDefault="00F10AD0" w:rsidP="00E76414"/>
    <w:p w14:paraId="17470280" w14:textId="77777777" w:rsidR="00F10AD0" w:rsidRDefault="00F10AD0" w:rsidP="00E76414"/>
    <w:p w14:paraId="6666E973" w14:textId="77777777" w:rsidR="00F10AD0" w:rsidRDefault="00F10AD0" w:rsidP="00E76414"/>
    <w:p w14:paraId="284C1FAB" w14:textId="77777777" w:rsidR="00F10AD0" w:rsidRDefault="00F10AD0" w:rsidP="00E76414"/>
    <w:p w14:paraId="54D098F7" w14:textId="0B67BB2A" w:rsidR="00E76414" w:rsidRDefault="00E76414" w:rsidP="00E76414">
      <w:r>
        <w:br w:type="page"/>
      </w:r>
    </w:p>
    <w:bookmarkEnd w:id="1"/>
    <w:p w14:paraId="5F389280" w14:textId="77777777" w:rsidR="000546D5" w:rsidRPr="00733B6B" w:rsidRDefault="00856EDC" w:rsidP="00733B6B">
      <w:pPr>
        <w:jc w:val="center"/>
        <w:rPr>
          <w:b/>
          <w:bCs/>
          <w:sz w:val="24"/>
          <w:szCs w:val="24"/>
        </w:rPr>
      </w:pPr>
      <w:r w:rsidRPr="00733B6B">
        <w:rPr>
          <w:b/>
          <w:bCs/>
          <w:sz w:val="24"/>
          <w:szCs w:val="24"/>
        </w:rPr>
        <w:lastRenderedPageBreak/>
        <w:t>Περιεχόμενα</w:t>
      </w:r>
    </w:p>
    <w:p w14:paraId="18591EB4" w14:textId="77777777" w:rsidR="000546D5" w:rsidRPr="004E7B57" w:rsidRDefault="000546D5" w:rsidP="00E76414">
      <w:pPr>
        <w:pStyle w:val="a3"/>
      </w:pPr>
    </w:p>
    <w:p w14:paraId="2B996E25" w14:textId="77777777" w:rsidR="000546D5" w:rsidRPr="00733B6B" w:rsidRDefault="00856EDC" w:rsidP="00733B6B">
      <w:pPr>
        <w:rPr>
          <w:b/>
          <w:bCs/>
        </w:rPr>
      </w:pPr>
      <w:r w:rsidRPr="00733B6B">
        <w:rPr>
          <w:b/>
          <w:bCs/>
        </w:rPr>
        <w:t>ΚΕΦΑΛΑΙΟ Α’: Διενέργεια της Ανταγωνιστικής Διαδικασίας, γενικοί όροι και πλαίσιο εφαρμογής</w:t>
      </w:r>
    </w:p>
    <w:p w14:paraId="1A82FFBE" w14:textId="77777777" w:rsidR="00733B6B" w:rsidRPr="00733B6B" w:rsidRDefault="00733B6B" w:rsidP="00733B6B"/>
    <w:p w14:paraId="382340C2" w14:textId="77777777" w:rsidR="000546D5" w:rsidRPr="004E7B57" w:rsidRDefault="00856EDC" w:rsidP="00E76414">
      <w:r w:rsidRPr="00E76414">
        <w:rPr>
          <w:b/>
          <w:bCs/>
        </w:rPr>
        <w:t>Άρθρο 1:</w:t>
      </w:r>
      <w:r w:rsidRPr="004E7B57">
        <w:t xml:space="preserve"> Εισαγωγή</w:t>
      </w:r>
    </w:p>
    <w:p w14:paraId="0954F31D" w14:textId="1AEB759C" w:rsidR="000546D5" w:rsidRPr="004E7B57" w:rsidRDefault="00856EDC" w:rsidP="00B50284">
      <w:r w:rsidRPr="004E7B57">
        <w:rPr>
          <w:b/>
        </w:rPr>
        <w:t xml:space="preserve">Άρθρο 2: </w:t>
      </w:r>
      <w:r w:rsidRPr="004E7B57">
        <w:t>Αρχή Διενέργειας Ανταγωνιστικής Διαδικασίας – Δημοσίευση Προκήρυξης</w:t>
      </w:r>
      <w:r w:rsidR="003C61F7" w:rsidRPr="004E7B57">
        <w:t xml:space="preserve"> </w:t>
      </w:r>
      <w:r w:rsidRPr="004E7B57">
        <w:t>– Παροχή διευκρινίσεων</w:t>
      </w:r>
      <w:r w:rsidR="003907F0">
        <w:t xml:space="preserve"> - </w:t>
      </w:r>
      <w:r w:rsidR="003907F0" w:rsidRPr="003907F0">
        <w:t>Προστασία Προσωπικών Δεδομένων - Κανόνες ενισχύσεων</w:t>
      </w:r>
    </w:p>
    <w:p w14:paraId="1AFF5C3B" w14:textId="77777777" w:rsidR="000546D5" w:rsidRPr="004E7B57" w:rsidRDefault="00856EDC" w:rsidP="00E76414">
      <w:r w:rsidRPr="00E76414">
        <w:rPr>
          <w:b/>
          <w:bCs/>
        </w:rPr>
        <w:t>Άρθρο 3:</w:t>
      </w:r>
      <w:r w:rsidRPr="004E7B57">
        <w:t xml:space="preserve"> Ορισμοί</w:t>
      </w:r>
    </w:p>
    <w:p w14:paraId="5181FBDB" w14:textId="77777777" w:rsidR="000546D5" w:rsidRPr="004E7B57" w:rsidRDefault="00856EDC" w:rsidP="00E76414">
      <w:r w:rsidRPr="004E7B57">
        <w:rPr>
          <w:b/>
        </w:rPr>
        <w:t xml:space="preserve">Άρθρο 4: </w:t>
      </w:r>
      <w:r w:rsidRPr="004E7B57">
        <w:t>Γλώσσα διαδικασίας – Επικύρωση εγγράφων – Επικοινωνία</w:t>
      </w:r>
    </w:p>
    <w:p w14:paraId="02A7D1C9" w14:textId="77777777" w:rsidR="000546D5" w:rsidRPr="004E7B57" w:rsidRDefault="00856EDC" w:rsidP="00E76414">
      <w:r w:rsidRPr="004E7B57">
        <w:rPr>
          <w:b/>
        </w:rPr>
        <w:t xml:space="preserve">Άρθρο 5: </w:t>
      </w:r>
      <w:r w:rsidRPr="004E7B57">
        <w:t>Τεκμήριο από τη συμμετοχή στην Ανταγωνιστική Διαδικασία</w:t>
      </w:r>
    </w:p>
    <w:p w14:paraId="7B27BB99" w14:textId="77777777" w:rsidR="000546D5" w:rsidRPr="00733B6B" w:rsidRDefault="000546D5" w:rsidP="00733B6B">
      <w:pPr>
        <w:rPr>
          <w:b/>
          <w:bCs/>
        </w:rPr>
      </w:pPr>
    </w:p>
    <w:p w14:paraId="42246E93" w14:textId="534512A0" w:rsidR="009B723C" w:rsidRDefault="00856EDC" w:rsidP="00733B6B">
      <w:pPr>
        <w:rPr>
          <w:b/>
          <w:bCs/>
        </w:rPr>
      </w:pPr>
      <w:r w:rsidRPr="00733B6B">
        <w:rPr>
          <w:b/>
          <w:bCs/>
        </w:rPr>
        <w:t xml:space="preserve">ΚΕΦΑΛΑΙΟ Β’: </w:t>
      </w:r>
      <w:r w:rsidR="003C61F7" w:rsidRPr="00733B6B">
        <w:rPr>
          <w:b/>
          <w:bCs/>
        </w:rPr>
        <w:t>Όροι, π</w:t>
      </w:r>
      <w:r w:rsidRPr="00733B6B">
        <w:rPr>
          <w:b/>
          <w:bCs/>
        </w:rPr>
        <w:t xml:space="preserve">ροϋποθέσεις </w:t>
      </w:r>
      <w:r w:rsidR="003C61F7" w:rsidRPr="00733B6B">
        <w:rPr>
          <w:b/>
          <w:bCs/>
        </w:rPr>
        <w:t>και κανόνες σ</w:t>
      </w:r>
      <w:r w:rsidRPr="00733B6B">
        <w:rPr>
          <w:b/>
          <w:bCs/>
        </w:rPr>
        <w:t>υμμετοχής στην Ανταγωνιστική Διαδικασία</w:t>
      </w:r>
    </w:p>
    <w:p w14:paraId="45ECE109" w14:textId="77777777" w:rsidR="00733B6B" w:rsidRPr="00733B6B" w:rsidRDefault="00733B6B" w:rsidP="00733B6B">
      <w:pPr>
        <w:rPr>
          <w:b/>
          <w:bCs/>
        </w:rPr>
      </w:pPr>
    </w:p>
    <w:p w14:paraId="3E54C389" w14:textId="3E5DC7E6" w:rsidR="000546D5" w:rsidRPr="004E7B57" w:rsidRDefault="00856EDC" w:rsidP="00E76414">
      <w:r w:rsidRPr="004E7B57">
        <w:rPr>
          <w:b/>
        </w:rPr>
        <w:t xml:space="preserve">Άρθρο 6: </w:t>
      </w:r>
      <w:r w:rsidRPr="004E7B57">
        <w:t xml:space="preserve">Δικαίωμα </w:t>
      </w:r>
      <w:r w:rsidR="00117824" w:rsidRPr="004E7B57">
        <w:t>και προϋποθέσεις σ</w:t>
      </w:r>
      <w:r w:rsidRPr="004E7B57">
        <w:t>υμμετοχής στην Ανταγωνιστική Διαδικασία</w:t>
      </w:r>
      <w:r w:rsidR="003C61F7" w:rsidRPr="004E7B57">
        <w:t xml:space="preserve"> </w:t>
      </w:r>
    </w:p>
    <w:p w14:paraId="54DE3F5A" w14:textId="6B4F8398" w:rsidR="000546D5" w:rsidRPr="004E7B57" w:rsidRDefault="00856EDC" w:rsidP="00B265C7">
      <w:pPr>
        <w:jc w:val="left"/>
      </w:pPr>
      <w:r w:rsidRPr="004E7B57">
        <w:rPr>
          <w:b/>
        </w:rPr>
        <w:t>Άρθρο</w:t>
      </w:r>
      <w:r w:rsidR="00DB1F90" w:rsidRPr="00DB1F90">
        <w:rPr>
          <w:b/>
        </w:rPr>
        <w:t xml:space="preserve"> </w:t>
      </w:r>
      <w:r w:rsidRPr="004E7B57">
        <w:rPr>
          <w:b/>
        </w:rPr>
        <w:t xml:space="preserve">7: </w:t>
      </w:r>
      <w:r w:rsidR="003C61F7" w:rsidRPr="004E7B57">
        <w:t>Τιμή εκκίνησης Πρώτης (Α’) Ανταγωνιστικής Διαδικασίας - Διασφάλιση συνθηκών ανταγωνισμού</w:t>
      </w:r>
    </w:p>
    <w:p w14:paraId="6D313EB4" w14:textId="7E812EB4" w:rsidR="000546D5" w:rsidRPr="004E7B57" w:rsidRDefault="00856EDC" w:rsidP="00E76414">
      <w:r w:rsidRPr="004E7B57">
        <w:rPr>
          <w:b/>
        </w:rPr>
        <w:t xml:space="preserve">Άρθρο 8: </w:t>
      </w:r>
      <w:r w:rsidR="003C61F7" w:rsidRPr="004E7B57">
        <w:t xml:space="preserve">Επιλέξιμοι </w:t>
      </w:r>
      <w:r w:rsidR="0051228D" w:rsidRPr="004E7B57">
        <w:t>Σ.Α.Η.Ε.</w:t>
      </w:r>
      <w:r w:rsidR="003C61F7" w:rsidRPr="004E7B57">
        <w:t xml:space="preserve"> </w:t>
      </w:r>
      <w:r w:rsidR="005A35D4" w:rsidRPr="004E7B57">
        <w:t>–</w:t>
      </w:r>
      <w:r w:rsidR="003C61F7" w:rsidRPr="004E7B57">
        <w:t xml:space="preserve"> </w:t>
      </w:r>
      <w:r w:rsidR="005A35D4" w:rsidRPr="004E7B57">
        <w:t>Κριτήρια και προϋποθέσεις</w:t>
      </w:r>
    </w:p>
    <w:p w14:paraId="0CE8B9C1" w14:textId="6DB1EB15" w:rsidR="00755B98" w:rsidRPr="004E7B57" w:rsidRDefault="00856EDC" w:rsidP="00E76414">
      <w:pPr>
        <w:rPr>
          <w:bCs/>
        </w:rPr>
      </w:pPr>
      <w:r w:rsidRPr="004E7B57">
        <w:rPr>
          <w:b/>
        </w:rPr>
        <w:t>Άρθρο 9</w:t>
      </w:r>
      <w:r w:rsidR="009A0818" w:rsidRPr="004E7B57">
        <w:rPr>
          <w:b/>
        </w:rPr>
        <w:t>:</w:t>
      </w:r>
      <w:r w:rsidR="005A35D4" w:rsidRPr="004E7B57">
        <w:t xml:space="preserve"> Τέλος Συμμετοχής</w:t>
      </w:r>
    </w:p>
    <w:p w14:paraId="153F6585" w14:textId="4A667880" w:rsidR="000546D5" w:rsidRPr="004E7B57" w:rsidRDefault="00755B98" w:rsidP="00E76414">
      <w:r w:rsidRPr="004E7B57">
        <w:rPr>
          <w:b/>
        </w:rPr>
        <w:t xml:space="preserve">Άρθρο 10: </w:t>
      </w:r>
      <w:r w:rsidR="005A35D4" w:rsidRPr="004E7B57">
        <w:t>Λόγοι αποκλεισμού Συμμετεχόντων</w:t>
      </w:r>
    </w:p>
    <w:p w14:paraId="3C2668F9" w14:textId="77777777" w:rsidR="000546D5" w:rsidRPr="004E7B57" w:rsidRDefault="000546D5" w:rsidP="00E76414">
      <w:pPr>
        <w:pStyle w:val="a3"/>
      </w:pPr>
    </w:p>
    <w:p w14:paraId="18EADCE6" w14:textId="1DA4D5BA" w:rsidR="000546D5" w:rsidRPr="00733B6B" w:rsidRDefault="00856EDC" w:rsidP="00733B6B">
      <w:pPr>
        <w:rPr>
          <w:b/>
          <w:bCs/>
        </w:rPr>
      </w:pPr>
      <w:r w:rsidRPr="00733B6B">
        <w:rPr>
          <w:b/>
          <w:bCs/>
        </w:rPr>
        <w:t xml:space="preserve">ΚΕΦΑΛΑΙΟ Γ’: Υποβολή Προσφορών –Αξιολόγηση και Αποφάσεις </w:t>
      </w:r>
      <w:r w:rsidR="00CF21E9" w:rsidRPr="00733B6B">
        <w:rPr>
          <w:b/>
          <w:bCs/>
        </w:rPr>
        <w:t>Ρ.Α.Α.Ε.Υ.</w:t>
      </w:r>
    </w:p>
    <w:p w14:paraId="0CE10F5B" w14:textId="77777777" w:rsidR="00733B6B" w:rsidRPr="00733B6B" w:rsidRDefault="00733B6B" w:rsidP="00733B6B"/>
    <w:p w14:paraId="05292D96" w14:textId="6149EBD9" w:rsidR="000546D5" w:rsidRPr="004E7B57" w:rsidRDefault="00856EDC" w:rsidP="00E76414">
      <w:r w:rsidRPr="004E7B57">
        <w:rPr>
          <w:b/>
        </w:rPr>
        <w:t>Άρθρο 1</w:t>
      </w:r>
      <w:r w:rsidR="005A35D4" w:rsidRPr="004E7B57">
        <w:rPr>
          <w:b/>
        </w:rPr>
        <w:t>1</w:t>
      </w:r>
      <w:r w:rsidRPr="004E7B57">
        <w:rPr>
          <w:b/>
        </w:rPr>
        <w:t xml:space="preserve">: </w:t>
      </w:r>
      <w:r w:rsidRPr="004E7B57">
        <w:t xml:space="preserve">Διαδικασία Υποβολής </w:t>
      </w:r>
      <w:r w:rsidR="00DB1F90">
        <w:rPr>
          <w:lang w:val="en-US"/>
        </w:rPr>
        <w:t>A</w:t>
      </w:r>
      <w:proofErr w:type="spellStart"/>
      <w:r w:rsidR="00DB1F90">
        <w:t>ίτησης</w:t>
      </w:r>
      <w:proofErr w:type="spellEnd"/>
      <w:r w:rsidRPr="004E7B57">
        <w:t xml:space="preserve"> </w:t>
      </w:r>
      <w:r w:rsidR="00DB1F90">
        <w:t>-</w:t>
      </w:r>
      <w:r w:rsidRPr="004E7B57">
        <w:t xml:space="preserve"> </w:t>
      </w:r>
      <w:r w:rsidR="00DB1F90">
        <w:t>Προσφορών - Δικαιολογητικών</w:t>
      </w:r>
    </w:p>
    <w:p w14:paraId="17C698A7" w14:textId="2C96F0DB" w:rsidR="000546D5" w:rsidRPr="004E7B57" w:rsidRDefault="00856EDC" w:rsidP="00E76414">
      <w:r w:rsidRPr="004E7B57">
        <w:rPr>
          <w:b/>
        </w:rPr>
        <w:t>Άρθρο</w:t>
      </w:r>
      <w:r w:rsidR="009B723C" w:rsidRPr="004E7B57">
        <w:rPr>
          <w:b/>
        </w:rPr>
        <w:t xml:space="preserve"> </w:t>
      </w:r>
      <w:r w:rsidRPr="004E7B57">
        <w:rPr>
          <w:b/>
        </w:rPr>
        <w:t>1</w:t>
      </w:r>
      <w:r w:rsidR="005A35D4" w:rsidRPr="004E7B57">
        <w:rPr>
          <w:b/>
        </w:rPr>
        <w:t>2</w:t>
      </w:r>
      <w:r w:rsidRPr="004E7B57">
        <w:rPr>
          <w:b/>
        </w:rPr>
        <w:t xml:space="preserve">: </w:t>
      </w:r>
      <w:r w:rsidR="00DB1F90">
        <w:t>Έλεγχος Αιτήσεων και Δικαιολογητικών Συμμετοχής – Αποφάσεις Ρ.Α.Α.Ε.Υ.</w:t>
      </w:r>
    </w:p>
    <w:p w14:paraId="464B3BCA" w14:textId="77777777" w:rsidR="000546D5" w:rsidRPr="004E7B57" w:rsidRDefault="000546D5" w:rsidP="00E76414">
      <w:pPr>
        <w:pStyle w:val="a3"/>
      </w:pPr>
    </w:p>
    <w:p w14:paraId="4F418E4C" w14:textId="532D6AFC" w:rsidR="000546D5" w:rsidRDefault="00856EDC" w:rsidP="00733B6B">
      <w:pPr>
        <w:rPr>
          <w:b/>
          <w:bCs/>
        </w:rPr>
      </w:pPr>
      <w:r w:rsidRPr="00733B6B">
        <w:rPr>
          <w:b/>
          <w:bCs/>
        </w:rPr>
        <w:t xml:space="preserve">ΚΕΦΑΛΑΙΟ Δ’: Υλοποίηση του </w:t>
      </w:r>
      <w:r w:rsidR="0051228D" w:rsidRPr="00733B6B">
        <w:rPr>
          <w:b/>
          <w:bCs/>
        </w:rPr>
        <w:t>Σ.Α.Η.Ε.</w:t>
      </w:r>
      <w:r w:rsidR="00131F36" w:rsidRPr="00733B6B">
        <w:rPr>
          <w:b/>
          <w:bCs/>
        </w:rPr>
        <w:t>- Υποχρεώσεις των Επιλεγέντων Συμμετεχόντων</w:t>
      </w:r>
    </w:p>
    <w:p w14:paraId="636DE03D" w14:textId="77777777" w:rsidR="00733B6B" w:rsidRPr="00733B6B" w:rsidRDefault="00733B6B" w:rsidP="00733B6B">
      <w:pPr>
        <w:rPr>
          <w:b/>
          <w:bCs/>
        </w:rPr>
      </w:pPr>
    </w:p>
    <w:p w14:paraId="20FCD240" w14:textId="3F04E090" w:rsidR="000546D5" w:rsidRPr="004E7B57" w:rsidRDefault="00856EDC" w:rsidP="00E76414">
      <w:r w:rsidRPr="004E7B57">
        <w:rPr>
          <w:b/>
        </w:rPr>
        <w:t>Άρθρο 1</w:t>
      </w:r>
      <w:r w:rsidR="00DB1F90">
        <w:rPr>
          <w:b/>
        </w:rPr>
        <w:t>3</w:t>
      </w:r>
      <w:r w:rsidRPr="004E7B57">
        <w:rPr>
          <w:b/>
        </w:rPr>
        <w:t xml:space="preserve">: </w:t>
      </w:r>
      <w:r w:rsidR="00067BD3" w:rsidRPr="004E7B57">
        <w:t>Χορήγηση επενδυτικής ενίσχυσης</w:t>
      </w:r>
    </w:p>
    <w:p w14:paraId="1E1AB685" w14:textId="44705E9F" w:rsidR="000546D5" w:rsidRPr="004E7B57" w:rsidRDefault="00856EDC" w:rsidP="00E76414">
      <w:r w:rsidRPr="004E7B57">
        <w:rPr>
          <w:b/>
        </w:rPr>
        <w:t>Άρθρο 1</w:t>
      </w:r>
      <w:r w:rsidR="00DB1F90">
        <w:rPr>
          <w:b/>
        </w:rPr>
        <w:t>4</w:t>
      </w:r>
      <w:r w:rsidRPr="004E7B57">
        <w:rPr>
          <w:b/>
        </w:rPr>
        <w:t xml:space="preserve">: </w:t>
      </w:r>
      <w:r w:rsidR="00067BD3" w:rsidRPr="004E7B57">
        <w:t>Μορφή</w:t>
      </w:r>
      <w:r w:rsidR="00D634A3" w:rsidRPr="004E7B57">
        <w:t>, κανόνες</w:t>
      </w:r>
      <w:r w:rsidR="00067BD3" w:rsidRPr="004E7B57">
        <w:t xml:space="preserve"> και διάρκεια χορήγησης λειτουργικής ενίσχυσης</w:t>
      </w:r>
    </w:p>
    <w:p w14:paraId="777A12F7" w14:textId="0CFBC30A" w:rsidR="000546D5" w:rsidRPr="004E7B57" w:rsidRDefault="00856EDC" w:rsidP="00E76414">
      <w:r w:rsidRPr="004E7B57">
        <w:rPr>
          <w:b/>
        </w:rPr>
        <w:t>Άρθρο 1</w:t>
      </w:r>
      <w:r w:rsidR="00DB1F90">
        <w:rPr>
          <w:b/>
        </w:rPr>
        <w:t>5</w:t>
      </w:r>
      <w:r w:rsidRPr="004E7B57">
        <w:rPr>
          <w:b/>
        </w:rPr>
        <w:t xml:space="preserve">: </w:t>
      </w:r>
      <w:r w:rsidR="00067BD3" w:rsidRPr="004E7B57">
        <w:t xml:space="preserve">Θέση σε λειτουργία των </w:t>
      </w:r>
      <w:r w:rsidR="0051228D" w:rsidRPr="004E7B57">
        <w:t>Σ.Α.Η.Ε.</w:t>
      </w:r>
      <w:r w:rsidR="00067BD3" w:rsidRPr="004E7B57">
        <w:t>- Τήρηση υποχρεώσεων</w:t>
      </w:r>
      <w:r w:rsidR="00DB1F90">
        <w:t xml:space="preserve"> και τεχνικών απαιτήσεων</w:t>
      </w:r>
    </w:p>
    <w:p w14:paraId="781EAE7B" w14:textId="0EC72139" w:rsidR="00380349" w:rsidRPr="004E7B57" w:rsidRDefault="00380349" w:rsidP="00E76414">
      <w:r w:rsidRPr="00DB1F90">
        <w:rPr>
          <w:b/>
          <w:bCs/>
        </w:rPr>
        <w:t xml:space="preserve">Άρθρο </w:t>
      </w:r>
      <w:r w:rsidR="000401B1" w:rsidRPr="00DB1F90">
        <w:rPr>
          <w:b/>
          <w:bCs/>
        </w:rPr>
        <w:t>1</w:t>
      </w:r>
      <w:r w:rsidR="00DB1F90" w:rsidRPr="00DB1F90">
        <w:rPr>
          <w:b/>
          <w:bCs/>
        </w:rPr>
        <w:t>6</w:t>
      </w:r>
      <w:r w:rsidRPr="00DB1F90">
        <w:rPr>
          <w:b/>
          <w:bCs/>
        </w:rPr>
        <w:t>:</w:t>
      </w:r>
      <w:r w:rsidRPr="004E7B57">
        <w:t xml:space="preserve"> </w:t>
      </w:r>
      <w:r w:rsidR="0001634E" w:rsidRPr="004E7B57">
        <w:rPr>
          <w:bCs/>
        </w:rPr>
        <w:t>Κυρώσεις</w:t>
      </w:r>
      <w:r w:rsidR="0001634E" w:rsidRPr="004E7B57" w:rsidDel="0001634E">
        <w:rPr>
          <w:bCs/>
        </w:rPr>
        <w:t xml:space="preserve"> </w:t>
      </w:r>
      <w:r w:rsidR="00DB1F90">
        <w:rPr>
          <w:bCs/>
        </w:rPr>
        <w:t xml:space="preserve">- </w:t>
      </w:r>
      <w:proofErr w:type="spellStart"/>
      <w:r w:rsidR="00DB1F90">
        <w:rPr>
          <w:bCs/>
        </w:rPr>
        <w:t>Απένταξη</w:t>
      </w:r>
      <w:proofErr w:type="spellEnd"/>
    </w:p>
    <w:p w14:paraId="5E25993B" w14:textId="595B81B7" w:rsidR="000546D5" w:rsidRPr="004E7B57" w:rsidRDefault="00856EDC" w:rsidP="00E76414">
      <w:r w:rsidRPr="004E7B57">
        <w:rPr>
          <w:b/>
        </w:rPr>
        <w:t xml:space="preserve">Άρθρο </w:t>
      </w:r>
      <w:r w:rsidR="000401B1" w:rsidRPr="004E7B57">
        <w:rPr>
          <w:b/>
        </w:rPr>
        <w:t>1</w:t>
      </w:r>
      <w:r w:rsidR="00DB1F90">
        <w:rPr>
          <w:b/>
        </w:rPr>
        <w:t>7</w:t>
      </w:r>
      <w:r w:rsidRPr="004E7B57">
        <w:rPr>
          <w:b/>
        </w:rPr>
        <w:t xml:space="preserve">: </w:t>
      </w:r>
      <w:r w:rsidR="0001634E" w:rsidRPr="004E7B57">
        <w:t>Ματαίωση και αναβολή της Ανταγωνιστικής Διαδικασίας - Παράταση προθεσμιών</w:t>
      </w:r>
      <w:r w:rsidR="0001634E" w:rsidRPr="004E7B57" w:rsidDel="0001634E">
        <w:t xml:space="preserve"> </w:t>
      </w:r>
    </w:p>
    <w:p w14:paraId="74031356" w14:textId="69A3ED6A" w:rsidR="0001634E" w:rsidRPr="004E7B57" w:rsidRDefault="0001634E" w:rsidP="00E76414">
      <w:r w:rsidRPr="004E7B57">
        <w:rPr>
          <w:b/>
        </w:rPr>
        <w:t>Άρθρο 1</w:t>
      </w:r>
      <w:r w:rsidR="00DB1F90">
        <w:rPr>
          <w:b/>
        </w:rPr>
        <w:t>8</w:t>
      </w:r>
      <w:r w:rsidRPr="004E7B57">
        <w:rPr>
          <w:b/>
        </w:rPr>
        <w:t>:</w:t>
      </w:r>
      <w:r w:rsidRPr="004E7B57">
        <w:t xml:space="preserve"> Δημοσίευση της Προκήρυξης</w:t>
      </w:r>
    </w:p>
    <w:p w14:paraId="63745A80" w14:textId="77777777" w:rsidR="000546D5" w:rsidRPr="004E7B57" w:rsidRDefault="000546D5" w:rsidP="00E76414">
      <w:pPr>
        <w:pStyle w:val="a3"/>
      </w:pPr>
    </w:p>
    <w:p w14:paraId="4C87E1B7" w14:textId="77777777" w:rsidR="000546D5" w:rsidRPr="00733B6B" w:rsidRDefault="00856EDC" w:rsidP="00733B6B">
      <w:pPr>
        <w:rPr>
          <w:b/>
          <w:bCs/>
        </w:rPr>
      </w:pPr>
      <w:r w:rsidRPr="00733B6B">
        <w:rPr>
          <w:b/>
          <w:bCs/>
        </w:rPr>
        <w:t>ΠΑΡΑΡΤΗΜΑΤΑ</w:t>
      </w:r>
    </w:p>
    <w:p w14:paraId="20267B8C" w14:textId="66F84361" w:rsidR="009B723C" w:rsidRPr="005F1071" w:rsidRDefault="00856EDC" w:rsidP="00E76414">
      <w:r w:rsidRPr="005F1071">
        <w:rPr>
          <w:b/>
        </w:rPr>
        <w:t>ΠΑΡΑΡΤΗΜΑ</w:t>
      </w:r>
      <w:r w:rsidRPr="005F1071">
        <w:rPr>
          <w:b/>
        </w:rPr>
        <w:tab/>
        <w:t>Α:</w:t>
      </w:r>
      <w:r w:rsidRPr="005F1071">
        <w:rPr>
          <w:b/>
        </w:rPr>
        <w:tab/>
      </w:r>
      <w:r w:rsidRPr="005F1071">
        <w:t>Συγκεντρωτική</w:t>
      </w:r>
      <w:r w:rsidRPr="005F1071">
        <w:tab/>
        <w:t>αποτύπωση</w:t>
      </w:r>
      <w:r w:rsidRPr="005F1071">
        <w:tab/>
        <w:t>όρων</w:t>
      </w:r>
      <w:r w:rsidRPr="005F1071">
        <w:tab/>
        <w:t>και</w:t>
      </w:r>
      <w:r w:rsidRPr="005F1071">
        <w:tab/>
        <w:t>προϋποθέσεων</w:t>
      </w:r>
      <w:r w:rsidRPr="005F1071">
        <w:tab/>
        <w:t>και</w:t>
      </w:r>
      <w:r w:rsidR="004C0A30" w:rsidRPr="005F1071">
        <w:t xml:space="preserve"> </w:t>
      </w:r>
      <w:r w:rsidRPr="005F1071">
        <w:t xml:space="preserve">χρονοδιάγραμμα της Ανταγωνιστικής Διαδικασίας </w:t>
      </w:r>
    </w:p>
    <w:p w14:paraId="3C7D74D9" w14:textId="5F01BDE9" w:rsidR="000546D5" w:rsidRPr="005F1071" w:rsidRDefault="00856EDC" w:rsidP="00E76414">
      <w:r w:rsidRPr="005F1071">
        <w:rPr>
          <w:b/>
        </w:rPr>
        <w:t xml:space="preserve">ΠΑΡΑΡΤΗΜΑ Β: </w:t>
      </w:r>
      <w:r w:rsidRPr="005F1071">
        <w:t xml:space="preserve">Υπόδειγμα Αίτησης Συμμετοχής </w:t>
      </w:r>
      <w:r w:rsidR="004C0A30" w:rsidRPr="005F1071">
        <w:t>–</w:t>
      </w:r>
      <w:r w:rsidR="005F1071">
        <w:t xml:space="preserve"> </w:t>
      </w:r>
      <w:r w:rsidRPr="005F1071">
        <w:t>Υπεύθυνη</w:t>
      </w:r>
      <w:r w:rsidR="00131F36" w:rsidRPr="005F1071">
        <w:t>ς</w:t>
      </w:r>
      <w:r w:rsidRPr="005F1071">
        <w:t xml:space="preserve"> Δήλωση</w:t>
      </w:r>
      <w:r w:rsidR="00131F36" w:rsidRPr="005F1071">
        <w:t>ς</w:t>
      </w:r>
    </w:p>
    <w:p w14:paraId="33F86B38" w14:textId="2FF9B4C6" w:rsidR="000546D5" w:rsidRDefault="00856EDC" w:rsidP="00E76414">
      <w:r w:rsidRPr="005F1071">
        <w:rPr>
          <w:b/>
        </w:rPr>
        <w:t xml:space="preserve">ΠΑΡΑΡΤΗΜΑ Β1: </w:t>
      </w:r>
      <w:r w:rsidRPr="005F1071">
        <w:t xml:space="preserve">Τεχνικά </w:t>
      </w:r>
      <w:r w:rsidR="005F1071">
        <w:t>στοιχεία</w:t>
      </w:r>
    </w:p>
    <w:p w14:paraId="18199597" w14:textId="01A9D45A" w:rsidR="005F1071" w:rsidRPr="005F1071" w:rsidRDefault="005F1071" w:rsidP="00E76414">
      <w:r w:rsidRPr="005F1071">
        <w:rPr>
          <w:b/>
          <w:bCs/>
        </w:rPr>
        <w:t>ΠΑΡΑΡΤΗΜΑ Β2:</w:t>
      </w:r>
      <w:r w:rsidRPr="005F1071">
        <w:t xml:space="preserve">  </w:t>
      </w:r>
      <w:r w:rsidR="00F4667A">
        <w:t xml:space="preserve">Οικονομική </w:t>
      </w:r>
      <w:r>
        <w:t>Προσφορά</w:t>
      </w:r>
    </w:p>
    <w:p w14:paraId="5C361AA2" w14:textId="005FEA9E" w:rsidR="000546D5" w:rsidRPr="004E7B57" w:rsidRDefault="00856EDC" w:rsidP="00E76414">
      <w:r w:rsidRPr="004E7B57">
        <w:rPr>
          <w:b/>
        </w:rPr>
        <w:lastRenderedPageBreak/>
        <w:t xml:space="preserve">ΠΑΡΑΡΤΗΜΑ Γ: </w:t>
      </w:r>
      <w:r w:rsidRPr="004E7B57">
        <w:t>Υπόδειγμα απόφασης οργάνου διοίκησης Συμμετέχοντος νομικού προσώπου</w:t>
      </w:r>
    </w:p>
    <w:p w14:paraId="22A8AA25" w14:textId="77777777" w:rsidR="000546D5" w:rsidRPr="004E7B57" w:rsidRDefault="00856EDC" w:rsidP="00E76414">
      <w:r w:rsidRPr="004E7B57">
        <w:rPr>
          <w:b/>
        </w:rPr>
        <w:t xml:space="preserve">ΠΑΡΑΡΤΗΜΑ Δ: </w:t>
      </w:r>
      <w:r w:rsidRPr="004E7B57">
        <w:t>Υπόδειγμα Εγγυητικής Επιστολής Συμμετοχής</w:t>
      </w:r>
    </w:p>
    <w:p w14:paraId="3B94197F" w14:textId="07D498D2" w:rsidR="000546D5" w:rsidRPr="004E7B57" w:rsidRDefault="00856EDC" w:rsidP="001A6C8E">
      <w:pPr>
        <w:jc w:val="left"/>
      </w:pPr>
      <w:r w:rsidRPr="004E7B57">
        <w:rPr>
          <w:b/>
        </w:rPr>
        <w:t xml:space="preserve">ΠΑΡΑΡΤΗΜΑ Ε: </w:t>
      </w:r>
      <w:r w:rsidRPr="004E7B57">
        <w:t>Υποδείγματα Εγγυητικ</w:t>
      </w:r>
      <w:r w:rsidR="00713CA4" w:rsidRPr="004E7B57">
        <w:t>ών</w:t>
      </w:r>
      <w:r w:rsidRPr="004E7B57">
        <w:t xml:space="preserve"> Επιστολ</w:t>
      </w:r>
      <w:r w:rsidR="00713CA4" w:rsidRPr="004E7B57">
        <w:t>ών</w:t>
      </w:r>
      <w:r w:rsidRPr="004E7B57">
        <w:t xml:space="preserve"> </w:t>
      </w:r>
      <w:r w:rsidR="00713CA4" w:rsidRPr="004E7B57">
        <w:t xml:space="preserve">Έντεχνης και Έγκαιρης </w:t>
      </w:r>
      <w:r w:rsidR="00AD22DD" w:rsidRPr="004E7B57">
        <w:t>Εκτέλεσης</w:t>
      </w:r>
      <w:r w:rsidRPr="004E7B57">
        <w:t xml:space="preserve"> και </w:t>
      </w:r>
      <w:r w:rsidR="00713CA4" w:rsidRPr="004E7B57">
        <w:t xml:space="preserve">Καλής </w:t>
      </w:r>
      <w:r w:rsidRPr="004E7B57">
        <w:t>Λειτουργίας</w:t>
      </w:r>
      <w:r w:rsidR="0026596F" w:rsidRPr="004E7B57">
        <w:t xml:space="preserve"> (Υποδείγματα Ι και ΙΙ)</w:t>
      </w:r>
    </w:p>
    <w:p w14:paraId="3BA2DEA0" w14:textId="119D3431" w:rsidR="000546D5" w:rsidRPr="004E7B57" w:rsidRDefault="00856EDC" w:rsidP="00E76414">
      <w:r w:rsidRPr="004E7B57">
        <w:rPr>
          <w:b/>
        </w:rPr>
        <w:t xml:space="preserve">ΠΑΡΑΡΤΗΜΑ ΣΤ: </w:t>
      </w:r>
      <w:r w:rsidRPr="004E7B57">
        <w:t xml:space="preserve">Υπόδειγμα Υπεύθυνης Δήλωσης Επιλεγέντος Συμμετέχοντος </w:t>
      </w:r>
      <w:r w:rsidR="00770C03" w:rsidRPr="004E7B57">
        <w:t>περί (α) Επιστροφής Εγγυητικής Επιστολής Συμμετοχής και Κατάθεσης Εγγυητικής Επιστολής Έντεχνης και Έγκαιρης Εκτέλεσης (β) Αντικατάστασης Εγγυητικής Επιστολής Έντεχνης και Έγκαιρης Εκτέλεσης (γ) Επιστροφής Εγγυητικής Επιστολής Έντεχνης και Έγκαιρης Εκτέλεσης και κατάθεσης Εγγυητικής Επιστολής Καλής Λειτουργίας (δ) Αντικατάστασης Εγγυητικής Επιστολής Καλής Λειτουργίας</w:t>
      </w:r>
      <w:r w:rsidR="00770C03" w:rsidRPr="004E7B57" w:rsidDel="00770C03">
        <w:t xml:space="preserve"> </w:t>
      </w:r>
    </w:p>
    <w:p w14:paraId="72437085" w14:textId="77777777" w:rsidR="000546D5" w:rsidRPr="004E7B57" w:rsidRDefault="00856EDC" w:rsidP="001A6C8E">
      <w:pPr>
        <w:jc w:val="left"/>
      </w:pPr>
      <w:r w:rsidRPr="004E7B57">
        <w:rPr>
          <w:b/>
        </w:rPr>
        <w:t xml:space="preserve">ΠΑΡΑΡΤΗΜΑ Ζ: </w:t>
      </w:r>
      <w:r w:rsidRPr="004E7B57">
        <w:t>Υπόδειγμα Υπεύθυνης Δήλωσης Επιστροφής Εγγυητικής Επιστολής Συμμετοχής Αποκλεισθέντος Συμμετέχοντος</w:t>
      </w:r>
    </w:p>
    <w:p w14:paraId="5015E289" w14:textId="77777777" w:rsidR="00BA68F9" w:rsidRPr="005F1071" w:rsidRDefault="00856EDC" w:rsidP="00E76414">
      <w:pPr>
        <w:rPr>
          <w:b/>
          <w:bCs/>
        </w:rPr>
      </w:pPr>
      <w:r w:rsidRPr="005F1071">
        <w:rPr>
          <w:b/>
          <w:bCs/>
        </w:rPr>
        <w:t>ΠΑΡΑΡΤΗΜΑ Η:</w:t>
      </w:r>
    </w:p>
    <w:p w14:paraId="1EF523B5" w14:textId="38C818C7" w:rsidR="00BA68F9" w:rsidRPr="004E7B57" w:rsidRDefault="00BA68F9" w:rsidP="00E76414">
      <w:r w:rsidRPr="004E7B57">
        <w:rPr>
          <w:b/>
        </w:rPr>
        <w:t xml:space="preserve">Η.1: </w:t>
      </w:r>
      <w:r w:rsidR="006F7390">
        <w:t>Προδιαγραφές εγκατάστασης, απόδοσης και ασφάλειας συστημάτων αποθήκευσης ηλεκτρικής ενέργειας</w:t>
      </w:r>
    </w:p>
    <w:p w14:paraId="349156CF" w14:textId="4EBFE07D" w:rsidR="00BA68F9" w:rsidRPr="004E7B57" w:rsidRDefault="00BA68F9" w:rsidP="00E76414">
      <w:r w:rsidRPr="004E7B57">
        <w:rPr>
          <w:b/>
        </w:rPr>
        <w:t xml:space="preserve">Η.2: </w:t>
      </w:r>
      <w:r w:rsidR="00633685" w:rsidRPr="004E7B57">
        <w:t>Τεχνικ</w:t>
      </w:r>
      <w:r w:rsidR="00633685">
        <w:t xml:space="preserve">ές απαιτήσεις σύνδεσης συστημάτων </w:t>
      </w:r>
      <w:r w:rsidR="006F7390">
        <w:t>αποθήκευσης ηλεκτρικής ενέργειας</w:t>
      </w:r>
    </w:p>
    <w:p w14:paraId="3F292267" w14:textId="39CB3FB3" w:rsidR="00E76414" w:rsidRDefault="00856EDC" w:rsidP="0072595A">
      <w:r w:rsidRPr="004E7B57">
        <w:rPr>
          <w:b/>
        </w:rPr>
        <w:t>ΠΑΡΑΡΤΗΜΑ Θ:</w:t>
      </w:r>
      <w:r w:rsidR="0026596F" w:rsidRPr="004E7B57">
        <w:t xml:space="preserve"> </w:t>
      </w:r>
      <w:r w:rsidR="005F1071">
        <w:t xml:space="preserve">Υποδείγματα Υπεύθυνων Δηλώσεων Τήρησης Υποχρεώσεων και Τεχνικών Απαιτήσεων </w:t>
      </w:r>
    </w:p>
    <w:p w14:paraId="50A2EBBC" w14:textId="153A7493" w:rsidR="003755B7" w:rsidRDefault="003755B7">
      <w:pPr>
        <w:tabs>
          <w:tab w:val="clear" w:pos="1189"/>
        </w:tabs>
        <w:spacing w:after="0" w:line="240" w:lineRule="auto"/>
        <w:ind w:right="0"/>
        <w:jc w:val="left"/>
      </w:pPr>
      <w:r>
        <w:br w:type="page"/>
      </w:r>
    </w:p>
    <w:p w14:paraId="7E96E6BE" w14:textId="77777777" w:rsidR="003755B7" w:rsidRDefault="003755B7" w:rsidP="005F1071"/>
    <w:p w14:paraId="1929E662" w14:textId="6797A1DA" w:rsidR="000546D5" w:rsidRPr="00733B6B" w:rsidRDefault="00856EDC" w:rsidP="00733B6B">
      <w:pPr>
        <w:jc w:val="center"/>
        <w:rPr>
          <w:b/>
          <w:bCs/>
          <w:sz w:val="24"/>
          <w:szCs w:val="24"/>
        </w:rPr>
      </w:pPr>
      <w:r w:rsidRPr="00733B6B">
        <w:rPr>
          <w:b/>
          <w:bCs/>
          <w:sz w:val="24"/>
          <w:szCs w:val="24"/>
        </w:rPr>
        <w:t>ΚΕΦΑΛΑΙΟ Α΄</w:t>
      </w:r>
    </w:p>
    <w:p w14:paraId="7777F75E" w14:textId="77777777" w:rsidR="000546D5" w:rsidRPr="00733B6B" w:rsidRDefault="00856EDC" w:rsidP="00733B6B">
      <w:pPr>
        <w:jc w:val="center"/>
        <w:rPr>
          <w:b/>
          <w:bCs/>
          <w:sz w:val="24"/>
          <w:szCs w:val="24"/>
        </w:rPr>
      </w:pPr>
      <w:r w:rsidRPr="00733B6B">
        <w:rPr>
          <w:b/>
          <w:bCs/>
          <w:sz w:val="24"/>
          <w:szCs w:val="24"/>
        </w:rPr>
        <w:t>Διενέργεια της Ανταγωνιστικής Διαδικασίας, γενικοί όροι και πλαίσιο εφαρμογής</w:t>
      </w:r>
    </w:p>
    <w:p w14:paraId="5059D313" w14:textId="77777777" w:rsidR="000546D5" w:rsidRPr="004E7B57" w:rsidRDefault="000546D5" w:rsidP="00E76414">
      <w:pPr>
        <w:pStyle w:val="a3"/>
      </w:pPr>
    </w:p>
    <w:p w14:paraId="3A91624F" w14:textId="46DD2DD7" w:rsidR="005C79E5" w:rsidRPr="00733B6B" w:rsidRDefault="00856EDC" w:rsidP="00733B6B">
      <w:pPr>
        <w:jc w:val="center"/>
        <w:rPr>
          <w:b/>
          <w:bCs/>
        </w:rPr>
      </w:pPr>
      <w:r w:rsidRPr="00733B6B">
        <w:rPr>
          <w:b/>
          <w:bCs/>
        </w:rPr>
        <w:t>Άρθρο 1</w:t>
      </w:r>
    </w:p>
    <w:p w14:paraId="2103588B" w14:textId="647012E2" w:rsidR="000546D5" w:rsidRPr="00733B6B" w:rsidRDefault="00856EDC" w:rsidP="00733B6B">
      <w:pPr>
        <w:jc w:val="center"/>
        <w:rPr>
          <w:b/>
          <w:bCs/>
        </w:rPr>
      </w:pPr>
      <w:r w:rsidRPr="00733B6B">
        <w:rPr>
          <w:b/>
          <w:bCs/>
        </w:rPr>
        <w:t>Εισαγωγή</w:t>
      </w:r>
    </w:p>
    <w:p w14:paraId="7A0C3069" w14:textId="77777777" w:rsidR="003E30BB" w:rsidRPr="004E7B57" w:rsidRDefault="003E30BB" w:rsidP="00E76414"/>
    <w:p w14:paraId="3A51EAA5" w14:textId="4501DADD" w:rsidR="008366F7" w:rsidRPr="004E7B57" w:rsidRDefault="005C79E5" w:rsidP="00E76414">
      <w:r w:rsidRPr="004E7B57">
        <w:rPr>
          <w:b/>
          <w:bCs/>
        </w:rPr>
        <w:t xml:space="preserve">1.1. </w:t>
      </w:r>
      <w:r w:rsidR="00A45625" w:rsidRPr="004E7B57">
        <w:t>Με την υπ’ αριθ. C(2022) 6461/ 05.09.2022 με θέμα «</w:t>
      </w:r>
      <w:proofErr w:type="spellStart"/>
      <w:r w:rsidR="00A45625" w:rsidRPr="004E7B57">
        <w:rPr>
          <w:i/>
          <w:iCs/>
        </w:rPr>
        <w:t>State</w:t>
      </w:r>
      <w:proofErr w:type="spellEnd"/>
      <w:r w:rsidR="00A45625" w:rsidRPr="004E7B57">
        <w:rPr>
          <w:i/>
          <w:iCs/>
        </w:rPr>
        <w:t xml:space="preserve"> </w:t>
      </w:r>
      <w:proofErr w:type="spellStart"/>
      <w:r w:rsidR="00A45625" w:rsidRPr="004E7B57">
        <w:rPr>
          <w:i/>
          <w:iCs/>
        </w:rPr>
        <w:t>Aid</w:t>
      </w:r>
      <w:proofErr w:type="spellEnd"/>
      <w:r w:rsidR="00A45625" w:rsidRPr="004E7B57">
        <w:rPr>
          <w:i/>
          <w:iCs/>
        </w:rPr>
        <w:t xml:space="preserve"> SA 64736 (2022/Ν)</w:t>
      </w:r>
      <w:r w:rsidR="00F2748D" w:rsidRPr="004E7B57">
        <w:rPr>
          <w:i/>
          <w:iCs/>
        </w:rPr>
        <w:t xml:space="preserve"> </w:t>
      </w:r>
      <w:r w:rsidR="00A45625" w:rsidRPr="004E7B57">
        <w:rPr>
          <w:i/>
          <w:iCs/>
        </w:rPr>
        <w:t xml:space="preserve">RRF - </w:t>
      </w:r>
      <w:proofErr w:type="spellStart"/>
      <w:r w:rsidR="00A45625" w:rsidRPr="004E7B57">
        <w:rPr>
          <w:i/>
          <w:iCs/>
        </w:rPr>
        <w:t>Greece</w:t>
      </w:r>
      <w:proofErr w:type="spellEnd"/>
      <w:r w:rsidR="00A45625" w:rsidRPr="004E7B57">
        <w:rPr>
          <w:i/>
          <w:iCs/>
        </w:rPr>
        <w:t xml:space="preserve"> - </w:t>
      </w:r>
      <w:proofErr w:type="spellStart"/>
      <w:r w:rsidR="00A45625" w:rsidRPr="004E7B57">
        <w:rPr>
          <w:i/>
          <w:iCs/>
        </w:rPr>
        <w:t>Financial</w:t>
      </w:r>
      <w:proofErr w:type="spellEnd"/>
      <w:r w:rsidR="00A45625" w:rsidRPr="004E7B57">
        <w:rPr>
          <w:i/>
          <w:iCs/>
        </w:rPr>
        <w:t xml:space="preserve"> support in </w:t>
      </w:r>
      <w:proofErr w:type="spellStart"/>
      <w:r w:rsidR="00A45625" w:rsidRPr="004E7B57">
        <w:rPr>
          <w:i/>
          <w:iCs/>
        </w:rPr>
        <w:t>favour</w:t>
      </w:r>
      <w:proofErr w:type="spellEnd"/>
      <w:r w:rsidR="00A45625" w:rsidRPr="004E7B57">
        <w:rPr>
          <w:i/>
          <w:iCs/>
        </w:rPr>
        <w:t xml:space="preserve"> of </w:t>
      </w:r>
      <w:proofErr w:type="spellStart"/>
      <w:r w:rsidR="00A45625" w:rsidRPr="004E7B57">
        <w:rPr>
          <w:i/>
          <w:iCs/>
        </w:rPr>
        <w:t>electricity</w:t>
      </w:r>
      <w:proofErr w:type="spellEnd"/>
      <w:r w:rsidR="00A45625" w:rsidRPr="004E7B57">
        <w:rPr>
          <w:i/>
          <w:iCs/>
        </w:rPr>
        <w:t xml:space="preserve"> </w:t>
      </w:r>
      <w:proofErr w:type="spellStart"/>
      <w:r w:rsidR="00A45625" w:rsidRPr="004E7B57">
        <w:rPr>
          <w:i/>
          <w:iCs/>
        </w:rPr>
        <w:t>storage</w:t>
      </w:r>
      <w:proofErr w:type="spellEnd"/>
      <w:r w:rsidR="00A45625" w:rsidRPr="004E7B57">
        <w:rPr>
          <w:i/>
          <w:iCs/>
        </w:rPr>
        <w:t xml:space="preserve"> </w:t>
      </w:r>
      <w:proofErr w:type="spellStart"/>
      <w:r w:rsidR="00A45625" w:rsidRPr="004E7B57">
        <w:rPr>
          <w:i/>
          <w:iCs/>
        </w:rPr>
        <w:t>facilities</w:t>
      </w:r>
      <w:proofErr w:type="spellEnd"/>
      <w:r w:rsidR="00A45625" w:rsidRPr="004E7B57">
        <w:t xml:space="preserve">» απόφαση της Ευρωπαϊκής Επιτροπής (εφεξής η «Εγκριτική Απόφαση») </w:t>
      </w:r>
      <w:proofErr w:type="spellStart"/>
      <w:r w:rsidR="00A45625" w:rsidRPr="004E7B57">
        <w:t>ενεκρίθη</w:t>
      </w:r>
      <w:proofErr w:type="spellEnd"/>
      <w:r w:rsidR="00A45625" w:rsidRPr="004E7B57">
        <w:t xml:space="preserve"> το καθεστώς που κοινοποίησε η Ελλάδα για τη χορήγηση επενδυτικής επιχορήγησης και λειτουργικής ενίσχυσης για τη δημιουργία εγκαταστάσεων αποθήκευσης ηλεκτρικής ενέργειας, συνδεδεμένων με το δίκτυο </w:t>
      </w:r>
      <w:r w:rsidRPr="004E7B57">
        <w:t>Υ</w:t>
      </w:r>
      <w:r w:rsidR="00A45625" w:rsidRPr="004E7B57">
        <w:t xml:space="preserve">ψηλής </w:t>
      </w:r>
      <w:r w:rsidRPr="004E7B57">
        <w:t>Τ</w:t>
      </w:r>
      <w:r w:rsidR="00A45625" w:rsidRPr="004E7B57">
        <w:t>άσης</w:t>
      </w:r>
      <w:r w:rsidRPr="004E7B57">
        <w:t xml:space="preserve"> (ΥΤ)</w:t>
      </w:r>
      <w:r w:rsidR="00A45625" w:rsidRPr="004E7B57">
        <w:t xml:space="preserve">. Η επιλογή των </w:t>
      </w:r>
      <w:r w:rsidR="000459B6" w:rsidRPr="004E7B57">
        <w:t xml:space="preserve">προς ενίσχυση </w:t>
      </w:r>
      <w:r w:rsidR="00A45625" w:rsidRPr="004E7B57">
        <w:t>έργων θα προκύψει δυνάμει διαδοχικών ανταγωνιστικών διαδικασιών υποβολής προσφορών έως την 31.12.2023</w:t>
      </w:r>
      <w:r w:rsidR="008366F7" w:rsidRPr="004E7B57">
        <w:t>, οι δε εγκαταστάσεις αποθήκευσης θα πρέπει να</w:t>
      </w:r>
      <w:r w:rsidR="00113001" w:rsidRPr="004E7B57">
        <w:t xml:space="preserve"> </w:t>
      </w:r>
      <w:r w:rsidR="008366F7" w:rsidRPr="004E7B57">
        <w:t xml:space="preserve">ολοκληρωθούν </w:t>
      </w:r>
      <w:r w:rsidR="00885E9E" w:rsidRPr="004E7B57">
        <w:t xml:space="preserve">και να τεθούν σε λειτουργία </w:t>
      </w:r>
      <w:r w:rsidR="008366F7" w:rsidRPr="004E7B57">
        <w:t>έως την 31.12.2025.</w:t>
      </w:r>
      <w:r w:rsidRPr="004E7B57">
        <w:t xml:space="preserve"> </w:t>
      </w:r>
      <w:r w:rsidR="008366F7" w:rsidRPr="004E7B57">
        <w:t xml:space="preserve">Η ενίσχυση </w:t>
      </w:r>
      <w:r w:rsidRPr="004E7B57">
        <w:t xml:space="preserve">προβλέπεται ότι </w:t>
      </w:r>
      <w:r w:rsidR="008366F7" w:rsidRPr="004E7B57">
        <w:t xml:space="preserve">θα χορηγηθεί, σωρευτικά, υπό μορφή: i) επενδυτικής επιχορήγησης, η οποία θα καταβληθεί κατά τη φάση κατασκευής των υποστηριζόμενων έργων και </w:t>
      </w:r>
      <w:proofErr w:type="spellStart"/>
      <w:r w:rsidR="008366F7" w:rsidRPr="004E7B57">
        <w:t>ii</w:t>
      </w:r>
      <w:proofErr w:type="spellEnd"/>
      <w:r w:rsidR="008366F7" w:rsidRPr="004E7B57">
        <w:t xml:space="preserve">) ετήσιας </w:t>
      </w:r>
      <w:r w:rsidRPr="004E7B57">
        <w:t xml:space="preserve">λειτουργικής ενίσχυσης </w:t>
      </w:r>
      <w:r w:rsidR="008366F7" w:rsidRPr="004E7B57">
        <w:t>που θα καταβάλλεται κατά τη φάση λειτουργίας των έργων, για περίοδο 10 ετών</w:t>
      </w:r>
      <w:r w:rsidRPr="004E7B57">
        <w:t xml:space="preserve">. </w:t>
      </w:r>
      <w:r w:rsidR="008366F7" w:rsidRPr="004E7B57">
        <w:t>Το συνολικό ποσό της ετήσιας</w:t>
      </w:r>
      <w:r w:rsidRPr="004E7B57">
        <w:t xml:space="preserve"> λειτουργικής ενίσχυσης </w:t>
      </w:r>
      <w:r w:rsidR="008366F7" w:rsidRPr="004E7B57">
        <w:t xml:space="preserve">ανά </w:t>
      </w:r>
      <w:r w:rsidR="000459B6" w:rsidRPr="004E7B57">
        <w:t xml:space="preserve">ενισχυόμενο </w:t>
      </w:r>
      <w:r w:rsidR="00113001" w:rsidRPr="004E7B57">
        <w:t>σταθμό αποθήκευσης</w:t>
      </w:r>
      <w:r w:rsidR="000459B6" w:rsidRPr="004E7B57">
        <w:t xml:space="preserve"> </w:t>
      </w:r>
      <w:r w:rsidRPr="004E7B57">
        <w:t xml:space="preserve">καθορίζεται </w:t>
      </w:r>
      <w:r w:rsidR="008C6378" w:rsidRPr="004E7B57">
        <w:t>ως η διαφορά μεταξύ των εσόδων αναφοράς</w:t>
      </w:r>
      <w:r w:rsidR="00F07C88" w:rsidRPr="004E7B57">
        <w:t>,</w:t>
      </w:r>
      <w:r w:rsidR="008C6378" w:rsidRPr="004E7B57">
        <w:t xml:space="preserve"> που προσδιορίζονται </w:t>
      </w:r>
      <w:r w:rsidR="00F07C88" w:rsidRPr="004E7B57">
        <w:t xml:space="preserve">μέσω </w:t>
      </w:r>
      <w:r w:rsidR="008C6378" w:rsidRPr="004E7B57">
        <w:t>τη</w:t>
      </w:r>
      <w:r w:rsidR="00F07C88" w:rsidRPr="004E7B57">
        <w:t>ς</w:t>
      </w:r>
      <w:r w:rsidR="008C6378" w:rsidRPr="004E7B57">
        <w:t xml:space="preserve"> σχετική</w:t>
      </w:r>
      <w:r w:rsidR="00F07C88" w:rsidRPr="004E7B57">
        <w:t>ς</w:t>
      </w:r>
      <w:r w:rsidR="008C6378" w:rsidRPr="004E7B57">
        <w:t xml:space="preserve"> </w:t>
      </w:r>
      <w:r w:rsidR="008366F7" w:rsidRPr="004E7B57">
        <w:t>ανταγωνιστικ</w:t>
      </w:r>
      <w:r w:rsidR="008C6378" w:rsidRPr="004E7B57">
        <w:t>ή</w:t>
      </w:r>
      <w:r w:rsidR="00F07C88" w:rsidRPr="004E7B57">
        <w:t>ς</w:t>
      </w:r>
      <w:r w:rsidR="008366F7" w:rsidRPr="004E7B57">
        <w:t xml:space="preserve"> διαδικασί</w:t>
      </w:r>
      <w:r w:rsidR="008C6378" w:rsidRPr="004E7B57">
        <w:t>α</w:t>
      </w:r>
      <w:r w:rsidR="00F07C88" w:rsidRPr="004E7B57">
        <w:t>ς,</w:t>
      </w:r>
      <w:r w:rsidR="008366F7" w:rsidRPr="004E7B57">
        <w:t xml:space="preserve"> </w:t>
      </w:r>
      <w:r w:rsidR="008C6378" w:rsidRPr="004E7B57">
        <w:t xml:space="preserve">και των καθαρών εσόδων από τη συμμετοχή του </w:t>
      </w:r>
      <w:r w:rsidR="00113001" w:rsidRPr="004E7B57">
        <w:t xml:space="preserve">έργου </w:t>
      </w:r>
      <w:r w:rsidR="008C6378" w:rsidRPr="004E7B57">
        <w:t>στ</w:t>
      </w:r>
      <w:r w:rsidR="001E472C" w:rsidRPr="004E7B57">
        <w:t>ις</w:t>
      </w:r>
      <w:r w:rsidR="008C6378" w:rsidRPr="004E7B57">
        <w:t xml:space="preserve"> αγορ</w:t>
      </w:r>
      <w:r w:rsidR="001E472C" w:rsidRPr="004E7B57">
        <w:t>ές</w:t>
      </w:r>
      <w:r w:rsidR="008C6378" w:rsidRPr="004E7B57">
        <w:t xml:space="preserve"> </w:t>
      </w:r>
      <w:r w:rsidR="001E472C" w:rsidRPr="004E7B57">
        <w:t xml:space="preserve">ηλεκτρικής </w:t>
      </w:r>
      <w:r w:rsidR="00113001" w:rsidRPr="004E7B57">
        <w:t>ενέργειας</w:t>
      </w:r>
      <w:r w:rsidR="00AC074F" w:rsidRPr="004E7B57">
        <w:t>,</w:t>
      </w:r>
      <w:r w:rsidR="001076B9" w:rsidRPr="004E7B57">
        <w:t xml:space="preserve"> και</w:t>
      </w:r>
      <w:r w:rsidR="005E68BA" w:rsidRPr="004E7B57">
        <w:t xml:space="preserve"> </w:t>
      </w:r>
      <w:r w:rsidRPr="004E7B57">
        <w:t xml:space="preserve">προσαρμόζεται </w:t>
      </w:r>
      <w:r w:rsidR="008366F7" w:rsidRPr="004E7B57">
        <w:t xml:space="preserve">μέσω μηχανισμού </w:t>
      </w:r>
      <w:proofErr w:type="spellStart"/>
      <w:r w:rsidR="00AC074F" w:rsidRPr="004E7B57">
        <w:t>κινητροδότησης</w:t>
      </w:r>
      <w:proofErr w:type="spellEnd"/>
      <w:r w:rsidR="00AC074F" w:rsidRPr="004E7B57">
        <w:t xml:space="preserve"> της </w:t>
      </w:r>
      <w:r w:rsidR="008C6378" w:rsidRPr="004E7B57">
        <w:t>αποδοτική</w:t>
      </w:r>
      <w:r w:rsidR="00AC074F" w:rsidRPr="004E7B57">
        <w:t>ς</w:t>
      </w:r>
      <w:r w:rsidR="008C6378" w:rsidRPr="004E7B57">
        <w:t xml:space="preserve"> </w:t>
      </w:r>
      <w:r w:rsidR="00F07C88" w:rsidRPr="004E7B57">
        <w:t>συμμετοχή</w:t>
      </w:r>
      <w:r w:rsidR="00AC074F" w:rsidRPr="004E7B57">
        <w:t>ς</w:t>
      </w:r>
      <w:r w:rsidR="008C6378" w:rsidRPr="004E7B57">
        <w:t xml:space="preserve"> των </w:t>
      </w:r>
      <w:r w:rsidR="00F07C88" w:rsidRPr="004E7B57">
        <w:t>ενισχυόμενων έργων</w:t>
      </w:r>
      <w:r w:rsidR="008C6378" w:rsidRPr="004E7B57">
        <w:t xml:space="preserve"> </w:t>
      </w:r>
      <w:r w:rsidR="008366F7" w:rsidRPr="004E7B57">
        <w:t>στ</w:t>
      </w:r>
      <w:r w:rsidR="008C6378" w:rsidRPr="004E7B57">
        <w:t>ις</w:t>
      </w:r>
      <w:r w:rsidR="008366F7" w:rsidRPr="004E7B57">
        <w:t xml:space="preserve"> αγορ</w:t>
      </w:r>
      <w:r w:rsidR="008C6378" w:rsidRPr="004E7B57">
        <w:t>ές</w:t>
      </w:r>
      <w:r w:rsidR="008366F7" w:rsidRPr="004E7B57">
        <w:t xml:space="preserve"> κατά τη φάση λειτουργίας</w:t>
      </w:r>
      <w:r w:rsidR="00AC074F" w:rsidRPr="004E7B57">
        <w:t xml:space="preserve"> τους</w:t>
      </w:r>
      <w:r w:rsidR="008366F7" w:rsidRPr="004E7B57">
        <w:t>.</w:t>
      </w:r>
      <w:r w:rsidR="00F2748D" w:rsidRPr="004E7B57">
        <w:t xml:space="preserve"> </w:t>
      </w:r>
    </w:p>
    <w:p w14:paraId="0D607B5E" w14:textId="04FA461E" w:rsidR="002D4F13" w:rsidRPr="004E7B57" w:rsidRDefault="000459B6" w:rsidP="00E76414">
      <w:r w:rsidRPr="004E7B57">
        <w:t xml:space="preserve">Εν όψει της επικείμενης αναβάθμισης των μεσοπρόθεσμων στόχων διείσδυσης των ΑΠΕ στην ηλεκτροπαραγωγή, στο πλαίσιο της </w:t>
      </w:r>
      <w:r w:rsidR="00113001" w:rsidRPr="004E7B57">
        <w:t xml:space="preserve">υπό εκπόνηση </w:t>
      </w:r>
      <w:r w:rsidRPr="004E7B57">
        <w:t>αναθεώρησης του ΕΣΕΚ, μ</w:t>
      </w:r>
      <w:r w:rsidR="001076B9" w:rsidRPr="004E7B57">
        <w:t xml:space="preserve">ε την υπουργική απόφαση της </w:t>
      </w:r>
      <w:proofErr w:type="spellStart"/>
      <w:r w:rsidR="001076B9" w:rsidRPr="004E7B57">
        <w:t>υποπαρ</w:t>
      </w:r>
      <w:proofErr w:type="spellEnd"/>
      <w:r w:rsidR="001076B9" w:rsidRPr="004E7B57">
        <w:t>.</w:t>
      </w:r>
      <w:r w:rsidR="00E30574" w:rsidRPr="004E7B57">
        <w:t xml:space="preserve"> 2Α της </w:t>
      </w:r>
      <w:r w:rsidR="00057AAE" w:rsidRPr="004E7B57">
        <w:t>πα</w:t>
      </w:r>
      <w:r w:rsidR="00E30574" w:rsidRPr="004E7B57">
        <w:t>ρ. 2 του άρθρου 143ΣΤ του ν. 4001/2011,</w:t>
      </w:r>
      <w:r w:rsidR="001076B9" w:rsidRPr="004E7B57">
        <w:t xml:space="preserve"> </w:t>
      </w:r>
      <w:r w:rsidRPr="004E7B57">
        <w:t>η συνολική δυναμικότητα που διατίθεται στις ανωτέρω ανταγωνιστικές διαδικασίες ορίζεται σε</w:t>
      </w:r>
      <w:r w:rsidR="002D4F13" w:rsidRPr="004E7B57">
        <w:t xml:space="preserve"> 1.000 </w:t>
      </w:r>
      <w:r w:rsidR="002D4F13" w:rsidRPr="004E7B57">
        <w:rPr>
          <w:lang w:val="en-US"/>
        </w:rPr>
        <w:t>MW</w:t>
      </w:r>
      <w:r w:rsidR="002D4F13" w:rsidRPr="004E7B57">
        <w:t>.</w:t>
      </w:r>
    </w:p>
    <w:p w14:paraId="78ED733F" w14:textId="7BE27618" w:rsidR="005F10E5" w:rsidRPr="004E7B57" w:rsidRDefault="005C79E5" w:rsidP="00E76414">
      <w:r w:rsidRPr="004E7B57">
        <w:rPr>
          <w:b/>
          <w:bCs/>
        </w:rPr>
        <w:t>1.2.</w:t>
      </w:r>
      <w:r w:rsidRPr="004E7B57">
        <w:t xml:space="preserve"> </w:t>
      </w:r>
      <w:r w:rsidR="005F10E5" w:rsidRPr="004E7B57">
        <w:t xml:space="preserve">Το νομοθετικό πλαίσιο για την </w:t>
      </w:r>
      <w:r w:rsidR="008366F7" w:rsidRPr="004E7B57">
        <w:t xml:space="preserve">εφαρμογή της Εγκριτικής Απόφασης και </w:t>
      </w:r>
      <w:r w:rsidR="009E4DA1" w:rsidRPr="004E7B57">
        <w:t xml:space="preserve">τη </w:t>
      </w:r>
      <w:r w:rsidR="005F10E5" w:rsidRPr="004E7B57">
        <w:t>χορήγηση των ως άνω ενισχύσεων εισήχθη με το άρθρο 143ΣΤ «Οικονομική ενίσχυση σταθμών αποθήκευσης ηλεκτρικής ενέργειας στο Ελληνικό Σύστημα Μεταφοράς Ηλεκτρικής Ενέργειας» του ν. 4001/2011 (Α’ 179)</w:t>
      </w:r>
      <w:r w:rsidR="008366F7" w:rsidRPr="004E7B57">
        <w:t xml:space="preserve"> (εφεξής ο «Νόμος»)</w:t>
      </w:r>
      <w:r w:rsidR="005F10E5" w:rsidRPr="004E7B57">
        <w:t>, το οποίο προβλέπει τα εξής:</w:t>
      </w:r>
    </w:p>
    <w:p w14:paraId="733355E8" w14:textId="52E0515A" w:rsidR="005F10E5" w:rsidRPr="009B5ABA" w:rsidRDefault="005F10E5" w:rsidP="00E76414">
      <w:pPr>
        <w:pStyle w:val="a4"/>
        <w:rPr>
          <w:i/>
          <w:iCs/>
        </w:rPr>
      </w:pPr>
      <w:r w:rsidRPr="009B5ABA">
        <w:rPr>
          <w:i/>
          <w:iCs/>
        </w:rPr>
        <w:t>« 1. Επιτρέπεται η χορήγηση επενδυτικής ενίσχυσης ή/και ετήσιας λειτουργικής ενίσχυσης, σε σταθμούς αποθήκευσης ηλεκτρικής ενέργειας που συνδέονται και λειτουργούν στο Ελληνικό Σύστημα Μεταφοράς Ηλεκτρικής Ενέργειας (Ε.Σ.Μ.Η.Ε.), καθώς και σε σταθμούς αποθήκευσης που εγκαθίστανται σε χώρες εντός του Ευρωπαϊκού Οικονομικού Χώρου. Προϋπόθεση συνιστά η ύπαρξη ενεργού Διασυνοριακού Εμπορίου Ενέργειας με τις ως άνω χώρες και η σύζευξη των αγορών εξισορρόπησης ηλεκτρικής ενέργειας αυτών. Η ενίσχυση του πρώτου εδαφίου λαμβάνει τον χαρακτήρα πρόσθετης αποζημίωσης, πλέον των καθαρών εσόδων από τη λειτουργία των ανωτέρω σταθμών στις αγορές ηλεκτρικής ενέργειας, υπό τον όρο της προηγούμενης έγκρισης των ενισχύσεων αυτών από την Ευρωπαϊκή Επιτροπή, σύμφωνα με τους όρους που καθορίζονται στην αντίστοιχη εγκριτική απόφαση της Ευρωπαϊκής Επιτροπής και βάσει των άρθρων 107 και 108 της Συνθήκης για τη Λειτουργία της Ευρωπαϊκής Ένωσης (Σ.Λ.Ε.Ε.), τόσο για τη χορήγηση κρατικών ενισχύσεων μέσω ανταγωνιστικών διαδικασιών υποβολής προσφορών, όσο και σε περιπτώσεις μεμονωμένων ενισχύσεων.</w:t>
      </w:r>
    </w:p>
    <w:p w14:paraId="555E6647" w14:textId="029DC005" w:rsidR="005F10E5" w:rsidRPr="009B5ABA" w:rsidRDefault="005F10E5" w:rsidP="00E76414">
      <w:pPr>
        <w:pStyle w:val="a4"/>
        <w:rPr>
          <w:i/>
          <w:iCs/>
        </w:rPr>
      </w:pPr>
      <w:r w:rsidRPr="009B5ABA">
        <w:rPr>
          <w:i/>
          <w:iCs/>
        </w:rPr>
        <w:t>2. Για την εφαρμογή της παρ. 1 και σύμφωνα με την εγκριτική απόφαση της ίδιας παραγράφου:</w:t>
      </w:r>
    </w:p>
    <w:p w14:paraId="42CFAA34" w14:textId="78DC2D85" w:rsidR="005F10E5" w:rsidRPr="009B5ABA" w:rsidRDefault="005F10E5" w:rsidP="00E76414">
      <w:pPr>
        <w:pStyle w:val="a4"/>
        <w:rPr>
          <w:i/>
          <w:iCs/>
        </w:rPr>
      </w:pPr>
      <w:r w:rsidRPr="009B5ABA">
        <w:rPr>
          <w:i/>
          <w:iCs/>
        </w:rPr>
        <w:t>2Α. Αναφορικά με τις περιπτώσεις χορήγησης ενίσχυσης μέσω ανταγωνιστικών διαδικασιών υποβολής προσφορών, με απόφαση του Υπουργού Περιβάλλοντος και Ενέργειας καθορίζονται ιδίως:</w:t>
      </w:r>
    </w:p>
    <w:p w14:paraId="1D1ECAA7" w14:textId="77777777" w:rsidR="005F10E5" w:rsidRPr="009B5ABA" w:rsidRDefault="005F10E5" w:rsidP="00E76414">
      <w:pPr>
        <w:pStyle w:val="a4"/>
        <w:rPr>
          <w:i/>
          <w:iCs/>
        </w:rPr>
      </w:pPr>
      <w:r w:rsidRPr="009B5ABA">
        <w:rPr>
          <w:i/>
          <w:iCs/>
        </w:rPr>
        <w:lastRenderedPageBreak/>
        <w:t xml:space="preserve"> α) ο τρόπος διενέργειας των ανταγωνιστικών διαδικασιών υποβολής προφορών, καθώς και το μοντέλο της δημοπρασίας,</w:t>
      </w:r>
    </w:p>
    <w:p w14:paraId="60B71D58" w14:textId="77777777" w:rsidR="005F10E5" w:rsidRPr="009B5ABA" w:rsidRDefault="005F10E5" w:rsidP="00E76414">
      <w:pPr>
        <w:pStyle w:val="a4"/>
        <w:rPr>
          <w:i/>
          <w:iCs/>
        </w:rPr>
      </w:pPr>
      <w:r w:rsidRPr="009B5ABA">
        <w:rPr>
          <w:i/>
          <w:iCs/>
        </w:rPr>
        <w:t xml:space="preserve"> β) ο αριθμός των ανταγωνιστικών διαδικασιών υποβολής προσφορών ανά έτος,</w:t>
      </w:r>
    </w:p>
    <w:p w14:paraId="155F32C7" w14:textId="77777777" w:rsidR="005F10E5" w:rsidRPr="009B5ABA" w:rsidRDefault="005F10E5" w:rsidP="00E76414">
      <w:pPr>
        <w:pStyle w:val="a4"/>
        <w:rPr>
          <w:i/>
          <w:iCs/>
        </w:rPr>
      </w:pPr>
      <w:r w:rsidRPr="009B5ABA">
        <w:rPr>
          <w:i/>
          <w:iCs/>
        </w:rPr>
        <w:t xml:space="preserve"> γ) το χρονοδιάγραμμα υλοποίησης των ανταγωνιστικών διαδικασιών, το οποίο καλύπτει όλη τη διάρκεια ισχύος της εγκριτικής απόφασης της παρ. 1,</w:t>
      </w:r>
    </w:p>
    <w:p w14:paraId="28A0D79E" w14:textId="77777777" w:rsidR="005F10E5" w:rsidRPr="009B5ABA" w:rsidRDefault="005F10E5" w:rsidP="00E76414">
      <w:pPr>
        <w:pStyle w:val="a4"/>
        <w:rPr>
          <w:i/>
          <w:iCs/>
        </w:rPr>
      </w:pPr>
      <w:r w:rsidRPr="009B5ABA">
        <w:rPr>
          <w:i/>
          <w:iCs/>
        </w:rPr>
        <w:t xml:space="preserve"> δ) η ελάχιστη και η μέγιστη χρονική διάρκεια που μεσολαβεί από τη δημοσίευση της προκήρυξης, μέχρι την έναρξη εκάστης ανταγωνιστικής διαδικασίας υποβολής προσφορών,</w:t>
      </w:r>
    </w:p>
    <w:p w14:paraId="6EA5BE08" w14:textId="77777777" w:rsidR="005F10E5" w:rsidRPr="009B5ABA" w:rsidRDefault="005F10E5" w:rsidP="00E76414">
      <w:pPr>
        <w:pStyle w:val="a4"/>
        <w:rPr>
          <w:i/>
          <w:iCs/>
        </w:rPr>
      </w:pPr>
      <w:r w:rsidRPr="009B5ABA">
        <w:rPr>
          <w:i/>
          <w:iCs/>
        </w:rPr>
        <w:t xml:space="preserve"> ε) η τιμή εκκίνησης εκάστης ανταγωνιστικής διαδικασίας, εφόσον αυτή δεν προσδιορίζεται στην εγκριτική απόφαση της παρ. 1. Η τιμή αυτή δύναται να αναθεωρηθεί βάσει των παραμέτρων υπολογισμού της περ. β` της </w:t>
      </w:r>
      <w:proofErr w:type="spellStart"/>
      <w:r w:rsidRPr="009B5ABA">
        <w:rPr>
          <w:i/>
          <w:iCs/>
        </w:rPr>
        <w:t>υποπαρ</w:t>
      </w:r>
      <w:proofErr w:type="spellEnd"/>
      <w:r w:rsidRPr="009B5ABA">
        <w:rPr>
          <w:i/>
          <w:iCs/>
        </w:rPr>
        <w:t>. 3Β της παρ. 3,</w:t>
      </w:r>
    </w:p>
    <w:p w14:paraId="061D67FF" w14:textId="77777777" w:rsidR="005F10E5" w:rsidRPr="009B5ABA" w:rsidRDefault="005F10E5" w:rsidP="00E76414">
      <w:pPr>
        <w:pStyle w:val="a4"/>
        <w:rPr>
          <w:i/>
          <w:iCs/>
        </w:rPr>
      </w:pPr>
      <w:r w:rsidRPr="009B5ABA">
        <w:rPr>
          <w:i/>
          <w:iCs/>
        </w:rPr>
        <w:t xml:space="preserve"> </w:t>
      </w:r>
      <w:proofErr w:type="spellStart"/>
      <w:r w:rsidRPr="009B5ABA">
        <w:rPr>
          <w:i/>
          <w:iCs/>
        </w:rPr>
        <w:t>στ</w:t>
      </w:r>
      <w:proofErr w:type="spellEnd"/>
      <w:r w:rsidRPr="009B5ABA">
        <w:rPr>
          <w:i/>
          <w:iCs/>
        </w:rPr>
        <w:t>) τα όρια ισχύος συμμετοχής και κατακύρωσης στους συμμετέχοντες,</w:t>
      </w:r>
    </w:p>
    <w:p w14:paraId="67FC993B" w14:textId="77777777" w:rsidR="005F10E5" w:rsidRPr="009B5ABA" w:rsidRDefault="005F10E5" w:rsidP="00E76414">
      <w:pPr>
        <w:pStyle w:val="a4"/>
        <w:rPr>
          <w:i/>
          <w:iCs/>
        </w:rPr>
      </w:pPr>
      <w:r w:rsidRPr="009B5ABA">
        <w:rPr>
          <w:i/>
          <w:iCs/>
        </w:rPr>
        <w:t xml:space="preserve"> ζ) η ισχύς σταθμών αποθήκευσης ηλεκτρικής ενέργειας, η οποία δημοπρατείται μέσω των ανταγωνιστικών διαδικασιών υποβολής προσφορών για τις ενισχύσεις του πρώτου εδαφίου της παρ. 1, υπό την προϋπόθεση πλήρωσης της προϋπόθεσης του δευτέρου εδαφίου αυτής για το τρέχον έτος ή και για τα επόμενα ημερολογιακά έτη από την έκδοση της παρούσας απόφασης,</w:t>
      </w:r>
    </w:p>
    <w:p w14:paraId="73DB1959" w14:textId="77777777" w:rsidR="005F10E5" w:rsidRPr="009B5ABA" w:rsidRDefault="005F10E5" w:rsidP="00E76414">
      <w:pPr>
        <w:pStyle w:val="a4"/>
        <w:rPr>
          <w:i/>
          <w:iCs/>
        </w:rPr>
      </w:pPr>
      <w:r w:rsidRPr="009B5ABA">
        <w:rPr>
          <w:i/>
          <w:iCs/>
        </w:rPr>
        <w:t xml:space="preserve"> η) τα ελάχιστα αποδεκτά τεχνικά χαρακτηριστικά, όπως η ελάχιστη χωρητικότητα των σταθμών αποθήκευσης ηλεκτρικής ενέργειας, προκειμένου να συμμετέχουν στις ανταγωνιστικές διαδικασίες,</w:t>
      </w:r>
    </w:p>
    <w:p w14:paraId="3B3760FF" w14:textId="77777777" w:rsidR="005F10E5" w:rsidRPr="009B5ABA" w:rsidRDefault="005F10E5" w:rsidP="00E76414">
      <w:pPr>
        <w:pStyle w:val="a4"/>
        <w:rPr>
          <w:i/>
          <w:iCs/>
        </w:rPr>
      </w:pPr>
      <w:r w:rsidRPr="009B5ABA">
        <w:rPr>
          <w:i/>
          <w:iCs/>
        </w:rPr>
        <w:t xml:space="preserve"> θ) ο βαθμός </w:t>
      </w:r>
      <w:proofErr w:type="spellStart"/>
      <w:r w:rsidRPr="009B5ABA">
        <w:rPr>
          <w:i/>
          <w:iCs/>
        </w:rPr>
        <w:t>αδειοδοτικής</w:t>
      </w:r>
      <w:proofErr w:type="spellEnd"/>
      <w:r w:rsidRPr="009B5ABA">
        <w:rPr>
          <w:i/>
          <w:iCs/>
        </w:rPr>
        <w:t xml:space="preserve"> ωριμότητας των σταθμών αποθήκευσης ηλεκτρικής ενέργειας, οι οποίοι συμμετέχουν στις ανταγωνιστικές διαδικασίες,</w:t>
      </w:r>
    </w:p>
    <w:p w14:paraId="1351D3E1" w14:textId="77777777" w:rsidR="005F10E5" w:rsidRPr="009B5ABA" w:rsidRDefault="005F10E5" w:rsidP="00E76414">
      <w:pPr>
        <w:pStyle w:val="a4"/>
        <w:rPr>
          <w:i/>
          <w:iCs/>
        </w:rPr>
      </w:pPr>
      <w:r w:rsidRPr="009B5ABA">
        <w:rPr>
          <w:i/>
          <w:iCs/>
        </w:rPr>
        <w:t xml:space="preserve"> ι) ο χρονικός προγραμματισμός για τη θέση σε λειτουργία των σταθμών αποθήκευσης ηλεκτρικής ενέργειας που επιλέγονται μέσω των ανταγωνιστικών διαδικασιών,</w:t>
      </w:r>
    </w:p>
    <w:p w14:paraId="6368D0A7" w14:textId="77777777" w:rsidR="005F10E5" w:rsidRPr="009B5ABA" w:rsidRDefault="005F10E5" w:rsidP="00E76414">
      <w:pPr>
        <w:pStyle w:val="a4"/>
        <w:rPr>
          <w:i/>
          <w:iCs/>
        </w:rPr>
      </w:pPr>
      <w:r w:rsidRPr="009B5ABA">
        <w:rPr>
          <w:i/>
          <w:iCs/>
        </w:rPr>
        <w:t xml:space="preserve"> </w:t>
      </w:r>
      <w:proofErr w:type="spellStart"/>
      <w:r w:rsidRPr="009B5ABA">
        <w:rPr>
          <w:i/>
          <w:iCs/>
        </w:rPr>
        <w:t>ια</w:t>
      </w:r>
      <w:proofErr w:type="spellEnd"/>
      <w:r w:rsidRPr="009B5ABA">
        <w:rPr>
          <w:i/>
          <w:iCs/>
        </w:rPr>
        <w:t>) το ύψος της επενδυτικής ενίσχυσης,</w:t>
      </w:r>
    </w:p>
    <w:p w14:paraId="3B5EDEF4" w14:textId="77777777" w:rsidR="005F10E5" w:rsidRPr="009B5ABA" w:rsidRDefault="005F10E5" w:rsidP="00E76414">
      <w:pPr>
        <w:pStyle w:val="a4"/>
        <w:rPr>
          <w:i/>
          <w:iCs/>
        </w:rPr>
      </w:pPr>
      <w:r w:rsidRPr="009B5ABA">
        <w:rPr>
          <w:i/>
          <w:iCs/>
        </w:rPr>
        <w:t xml:space="preserve"> </w:t>
      </w:r>
      <w:proofErr w:type="spellStart"/>
      <w:r w:rsidRPr="009B5ABA">
        <w:rPr>
          <w:i/>
          <w:iCs/>
        </w:rPr>
        <w:t>ιβ</w:t>
      </w:r>
      <w:proofErr w:type="spellEnd"/>
      <w:r w:rsidRPr="009B5ABA">
        <w:rPr>
          <w:i/>
          <w:iCs/>
        </w:rPr>
        <w:t>) η διάρκεια χορήγησης της λειτουργικής ενίσχυσης,</w:t>
      </w:r>
    </w:p>
    <w:p w14:paraId="18820F44" w14:textId="77777777" w:rsidR="005F10E5" w:rsidRPr="009B5ABA" w:rsidRDefault="005F10E5" w:rsidP="00E76414">
      <w:pPr>
        <w:pStyle w:val="a4"/>
        <w:rPr>
          <w:i/>
          <w:iCs/>
        </w:rPr>
      </w:pPr>
      <w:r w:rsidRPr="009B5ABA">
        <w:rPr>
          <w:i/>
          <w:iCs/>
        </w:rPr>
        <w:t xml:space="preserve"> </w:t>
      </w:r>
      <w:proofErr w:type="spellStart"/>
      <w:r w:rsidRPr="009B5ABA">
        <w:rPr>
          <w:i/>
          <w:iCs/>
        </w:rPr>
        <w:t>ιγ</w:t>
      </w:r>
      <w:proofErr w:type="spellEnd"/>
      <w:r w:rsidRPr="009B5ABA">
        <w:rPr>
          <w:i/>
          <w:iCs/>
        </w:rPr>
        <w:t>) οι κανόνες για τη διαμόρφωση της μεθοδολογίας υπολογισμού των καθαρών εσόδων αγοράς και της λειτουργικής ενίσχυσης των σταθμών αυτών, όπως αναφέρεται στην παρ. 3,</w:t>
      </w:r>
    </w:p>
    <w:p w14:paraId="503BC58A" w14:textId="77777777" w:rsidR="005F10E5" w:rsidRPr="009B5ABA" w:rsidRDefault="005F10E5" w:rsidP="00E76414">
      <w:pPr>
        <w:pStyle w:val="a4"/>
        <w:rPr>
          <w:i/>
          <w:iCs/>
        </w:rPr>
      </w:pPr>
      <w:r w:rsidRPr="009B5ABA">
        <w:rPr>
          <w:i/>
          <w:iCs/>
        </w:rPr>
        <w:t xml:space="preserve"> </w:t>
      </w:r>
      <w:proofErr w:type="spellStart"/>
      <w:r w:rsidRPr="009B5ABA">
        <w:rPr>
          <w:i/>
          <w:iCs/>
        </w:rPr>
        <w:t>ιδ</w:t>
      </w:r>
      <w:proofErr w:type="spellEnd"/>
      <w:r w:rsidRPr="009B5ABA">
        <w:rPr>
          <w:i/>
          <w:iCs/>
        </w:rPr>
        <w:t xml:space="preserve">) τα κίνητρα αποδοτικής και επωφελούς, για το σύστημα ηλεκτρικής ενέργειας, δραστηριοποίησης, τα οποία παρέχονται στον κάτοχο κάθε ενισχυόμενου σταθμού, καθώς και το επιτρεπτό εύρος διακύμανσης του ετήσιου επιτρεπόμενου εσόδου, ως αποτέλεσμα εφαρμογής των κινήτρων αυτών, κατά την </w:t>
      </w:r>
      <w:proofErr w:type="spellStart"/>
      <w:r w:rsidRPr="009B5ABA">
        <w:rPr>
          <w:i/>
          <w:iCs/>
        </w:rPr>
        <w:t>υποπαρ</w:t>
      </w:r>
      <w:proofErr w:type="spellEnd"/>
      <w:r w:rsidRPr="009B5ABA">
        <w:rPr>
          <w:i/>
          <w:iCs/>
        </w:rPr>
        <w:t>. 3Γ της παρ. 3,</w:t>
      </w:r>
    </w:p>
    <w:p w14:paraId="0E13143D" w14:textId="77777777" w:rsidR="005F10E5" w:rsidRPr="009B5ABA" w:rsidRDefault="005F10E5" w:rsidP="00E76414">
      <w:pPr>
        <w:pStyle w:val="a4"/>
        <w:rPr>
          <w:i/>
          <w:iCs/>
        </w:rPr>
      </w:pPr>
      <w:r w:rsidRPr="009B5ABA">
        <w:rPr>
          <w:i/>
          <w:iCs/>
        </w:rPr>
        <w:t xml:space="preserve"> </w:t>
      </w:r>
      <w:proofErr w:type="spellStart"/>
      <w:r w:rsidRPr="009B5ABA">
        <w:rPr>
          <w:i/>
          <w:iCs/>
        </w:rPr>
        <w:t>ιε</w:t>
      </w:r>
      <w:proofErr w:type="spellEnd"/>
      <w:r w:rsidRPr="009B5ABA">
        <w:rPr>
          <w:i/>
          <w:iCs/>
        </w:rPr>
        <w:t>) κάθε άλλο ειδικό ζήτημα κατ` εφαρμογή των όρων της εγκριτικής απόφασης της παρ. 1 και του παρόντος άρθρου.</w:t>
      </w:r>
    </w:p>
    <w:p w14:paraId="41B10BE0" w14:textId="5D5E6F2E" w:rsidR="005F10E5" w:rsidRPr="009B5ABA" w:rsidRDefault="005F10E5" w:rsidP="00E76414">
      <w:pPr>
        <w:pStyle w:val="a4"/>
        <w:rPr>
          <w:i/>
          <w:iCs/>
        </w:rPr>
      </w:pPr>
      <w:r w:rsidRPr="009B5ABA">
        <w:rPr>
          <w:i/>
          <w:iCs/>
        </w:rPr>
        <w:t>2Β. Σε περιπτώσεις μεμονωμένων ενισχύσεων σταθμών αποθήκευσης ηλεκτρικής ενέργειας με απόφαση του Υπουργού Περιβάλλοντος και Ενέργειας, καθορίζονται ιδίως:</w:t>
      </w:r>
    </w:p>
    <w:p w14:paraId="5B70831C" w14:textId="77777777" w:rsidR="005F10E5" w:rsidRPr="009B5ABA" w:rsidRDefault="005F10E5" w:rsidP="00E76414">
      <w:pPr>
        <w:pStyle w:val="a4"/>
        <w:rPr>
          <w:i/>
          <w:iCs/>
        </w:rPr>
      </w:pPr>
      <w:r w:rsidRPr="009B5ABA">
        <w:rPr>
          <w:i/>
          <w:iCs/>
        </w:rPr>
        <w:t xml:space="preserve"> α) η διάρκεια χορήγησης της λειτουργικής ενίσχυσης,</w:t>
      </w:r>
    </w:p>
    <w:p w14:paraId="13E5FB4E" w14:textId="77777777" w:rsidR="005F10E5" w:rsidRPr="009B5ABA" w:rsidRDefault="005F10E5" w:rsidP="00E76414">
      <w:pPr>
        <w:pStyle w:val="a4"/>
        <w:rPr>
          <w:i/>
          <w:iCs/>
        </w:rPr>
      </w:pPr>
      <w:r w:rsidRPr="009B5ABA">
        <w:rPr>
          <w:i/>
          <w:iCs/>
        </w:rPr>
        <w:t xml:space="preserve"> β) οι κανόνες για τη διαμόρφωση της μεθοδολογίας υπολογισμού του επιτρεπόμενου εσόδου, με βάση την αξία της ρυθμιζόμενης περιουσιακής βάσης του έργου, της λειτουργικής ενίσχυσης των σταθμών αυτών, όπως και των μεγεθών στα οποία βασίζεται ο υπολογισμός, ήτοι, των καθαρών εσόδων αγοράς, κατά την παρ. 3,</w:t>
      </w:r>
    </w:p>
    <w:p w14:paraId="40C0658E" w14:textId="77777777" w:rsidR="005F10E5" w:rsidRPr="009B5ABA" w:rsidRDefault="005F10E5" w:rsidP="00E76414">
      <w:pPr>
        <w:pStyle w:val="a4"/>
        <w:rPr>
          <w:i/>
          <w:iCs/>
        </w:rPr>
      </w:pPr>
      <w:r w:rsidRPr="009B5ABA">
        <w:rPr>
          <w:i/>
          <w:iCs/>
        </w:rPr>
        <w:t xml:space="preserve"> γ) τα κίνητρα αποδοτικής και επωφελούς για το σύστημα ηλεκτρικής ενέργειας δραστηριοποίησης, τα οποία παρέχονται στον κάτοχο κάθε ενισχυόμενου σταθμού, καθώς και το επιτρεπτό εύρος διακύμανσης του ετήσιου επιτρεπόμενου εσόδου, ως αποτέλεσμα εφαρμογής των κινήτρων αυτών, κατά την </w:t>
      </w:r>
      <w:proofErr w:type="spellStart"/>
      <w:r w:rsidRPr="009B5ABA">
        <w:rPr>
          <w:i/>
          <w:iCs/>
        </w:rPr>
        <w:t>υποπαρ</w:t>
      </w:r>
      <w:proofErr w:type="spellEnd"/>
      <w:r w:rsidRPr="009B5ABA">
        <w:rPr>
          <w:i/>
          <w:iCs/>
        </w:rPr>
        <w:t>. 3Γ της παρ. 3,</w:t>
      </w:r>
    </w:p>
    <w:p w14:paraId="41B38C2B" w14:textId="77777777" w:rsidR="005F10E5" w:rsidRPr="009B5ABA" w:rsidRDefault="005F10E5" w:rsidP="00E76414">
      <w:pPr>
        <w:pStyle w:val="a4"/>
        <w:rPr>
          <w:i/>
          <w:iCs/>
        </w:rPr>
      </w:pPr>
      <w:r w:rsidRPr="009B5ABA">
        <w:rPr>
          <w:i/>
          <w:iCs/>
        </w:rPr>
        <w:t xml:space="preserve"> δ) εφόσον στην εγκριτική απόφαση της παρ. 1 προβλέπεται μηχανισμός πιστοποίησης του κόστους και παρακολούθησης του χρονοδιαγράμματος κατασκευής των έργων, καθορίζονται:</w:t>
      </w:r>
    </w:p>
    <w:p w14:paraId="6880558D" w14:textId="77777777" w:rsidR="005F10E5" w:rsidRPr="009B5ABA" w:rsidRDefault="005F10E5" w:rsidP="00E76414">
      <w:pPr>
        <w:pStyle w:val="a4"/>
        <w:rPr>
          <w:i/>
          <w:iCs/>
        </w:rPr>
      </w:pPr>
      <w:r w:rsidRPr="009B5ABA">
        <w:rPr>
          <w:i/>
          <w:iCs/>
        </w:rPr>
        <w:lastRenderedPageBreak/>
        <w:t xml:space="preserve"> δα) η μεθοδολογία προσαρμογής του επιτρεπόμενου εσόδου του αποθηκευτικού σταθμού σε συνάρτηση με το κόστος κατασκευής που προκύπτει από τη διενέργεια της πιστοποίησης, σύμφωνα με την οικεία εγκριτική απόφαση της παρ. 1,</w:t>
      </w:r>
    </w:p>
    <w:p w14:paraId="3C5A7360" w14:textId="77777777" w:rsidR="005F10E5" w:rsidRPr="009B5ABA" w:rsidRDefault="005F10E5" w:rsidP="00E76414">
      <w:pPr>
        <w:pStyle w:val="a4"/>
        <w:rPr>
          <w:i/>
          <w:iCs/>
        </w:rPr>
      </w:pPr>
      <w:r w:rsidRPr="009B5ABA">
        <w:rPr>
          <w:i/>
          <w:iCs/>
        </w:rPr>
        <w:t xml:space="preserve"> </w:t>
      </w:r>
      <w:proofErr w:type="spellStart"/>
      <w:r w:rsidRPr="009B5ABA">
        <w:rPr>
          <w:i/>
          <w:iCs/>
        </w:rPr>
        <w:t>δβ</w:t>
      </w:r>
      <w:proofErr w:type="spellEnd"/>
      <w:r w:rsidRPr="009B5ABA">
        <w:rPr>
          <w:i/>
          <w:iCs/>
        </w:rPr>
        <w:t>) τα προσόντα, οι προϋποθέσεις και η διαδικασία ορισμού φυσικού ή νομικού προσώπου ως ανεξάρτητου μηχανικού πιστοποίησης και κάθε άλλο αναγκαίο σχετικό ζήτημα,</w:t>
      </w:r>
    </w:p>
    <w:p w14:paraId="76089357" w14:textId="77777777" w:rsidR="005F10E5" w:rsidRPr="009B5ABA" w:rsidRDefault="005F10E5" w:rsidP="00E76414">
      <w:pPr>
        <w:pStyle w:val="a4"/>
        <w:rPr>
          <w:i/>
          <w:iCs/>
        </w:rPr>
      </w:pPr>
      <w:r w:rsidRPr="009B5ABA">
        <w:rPr>
          <w:i/>
          <w:iCs/>
        </w:rPr>
        <w:t xml:space="preserve"> </w:t>
      </w:r>
      <w:proofErr w:type="spellStart"/>
      <w:r w:rsidRPr="009B5ABA">
        <w:rPr>
          <w:i/>
          <w:iCs/>
        </w:rPr>
        <w:t>δγ</w:t>
      </w:r>
      <w:proofErr w:type="spellEnd"/>
      <w:r w:rsidRPr="009B5ABA">
        <w:rPr>
          <w:i/>
          <w:iCs/>
        </w:rPr>
        <w:t>) οι υποχρεώσεις και οι ελάχιστοι όροι δραστηριοποίησης του εν λόγω ανεξάρτητου μηχανικού, που, εκτός από την πιστοποίηση του επενδυτικού και λειτουργικού κόστους του αποθηκευτικού σταθμού, δύναται να περιλαμβάνουν τον ποιοτικό έλεγχο και τη βεβαίωση της τήρησης του χρονοδιαγράμματος και των οροσήμων υλοποίησης του έργου,</w:t>
      </w:r>
    </w:p>
    <w:p w14:paraId="7C42A916" w14:textId="77777777" w:rsidR="005F10E5" w:rsidRPr="009B5ABA" w:rsidRDefault="005F10E5" w:rsidP="00E76414">
      <w:pPr>
        <w:pStyle w:val="a4"/>
        <w:rPr>
          <w:i/>
          <w:iCs/>
        </w:rPr>
      </w:pPr>
      <w:r w:rsidRPr="009B5ABA">
        <w:rPr>
          <w:i/>
          <w:iCs/>
        </w:rPr>
        <w:t xml:space="preserve"> ε) κάθε άλλο ειδικό ζήτημα κατ’ εφαρμογή των όρων της εγκριτικής απόφασης της παρ. 1 και του παρόντος άρθρου.</w:t>
      </w:r>
    </w:p>
    <w:p w14:paraId="36AEDC27" w14:textId="77777777" w:rsidR="005F10E5" w:rsidRPr="009B5ABA" w:rsidRDefault="005F10E5" w:rsidP="00E76414">
      <w:pPr>
        <w:pStyle w:val="a4"/>
        <w:rPr>
          <w:i/>
          <w:iCs/>
        </w:rPr>
      </w:pPr>
      <w:r w:rsidRPr="009B5ABA">
        <w:rPr>
          <w:i/>
          <w:iCs/>
        </w:rPr>
        <w:t xml:space="preserve"> Για την εφαρμογή της περ. δ), ο ανεξάρτητος μηχανικός πιστοποίησης επιλέγεται από τον δικαιούχο της ενίσχυσης και εγκρίνεται από το αρμόδιο όργανο του Υπουργείου Περιβάλλοντος και Ενέργειας. Ο δικαιούχος της ενίσχυσης αναλαμβάνει στο ακέραιο τις δαπάνες για την αμοιβή του ανεξάρτητου μηχανικού και τα συναφή έξοδα.».</w:t>
      </w:r>
    </w:p>
    <w:p w14:paraId="6076009B" w14:textId="0ADC2CC1" w:rsidR="005F10E5" w:rsidRPr="009B5ABA" w:rsidRDefault="005F10E5" w:rsidP="00E76414">
      <w:pPr>
        <w:pStyle w:val="a4"/>
        <w:rPr>
          <w:i/>
          <w:iCs/>
        </w:rPr>
      </w:pPr>
      <w:r w:rsidRPr="009B5ABA">
        <w:rPr>
          <w:i/>
          <w:iCs/>
        </w:rPr>
        <w:t xml:space="preserve">2Γ. Στους σταθμούς αποθήκευσης ηλεκτρικής ενέργειας που έχουν επιλεγεί για χορήγηση μεμονωμένης ενίσχυσης ή έχουν ενταχθεί σε καθεστώς στήριξης, μετά από συμμετοχή σε ανταγωνιστική διαδικασία υποβολής προσφορών, η επενδυτική ενίσχυση της παρ. 1 δύναται να καταβάλλεται από εθνικούς ή </w:t>
      </w:r>
      <w:proofErr w:type="spellStart"/>
      <w:r w:rsidRPr="009B5ABA">
        <w:rPr>
          <w:i/>
          <w:iCs/>
        </w:rPr>
        <w:t>ενωσιακούς</w:t>
      </w:r>
      <w:proofErr w:type="spellEnd"/>
      <w:r w:rsidRPr="009B5ABA">
        <w:rPr>
          <w:i/>
          <w:iCs/>
        </w:rPr>
        <w:t xml:space="preserve"> πόρους μέσω του Προγράμματος Δημόσιων Επενδύσεων (Π.Δ.Ε.) εντός των εκάστοτε ετησίων ορίων του Π.Δ.Ε. του Υπουργείου Περιβάλλοντος και Ενέργειας και, στην περίπτωση εθνικών πόρων, εντός του ορίου του προϋπολογισμού του Τομεακού Προγράμματος Ανάπτυξης του Υπουργείου Περιβάλλοντος και Ενέργειας. Με κοινή απόφαση των Υπουργών Οικονομικών, Ανάπτυξης και Επενδύσεων και Περιβάλλοντος και Ενέργειας, καθορίζονται η διαδικασία χορήγησης και καταβολής της επενδυτικής ενίσχυσης, καθώς και κάθε ειδικότερο θέμα σχετικό με την εφαρμογή της παρούσας. Ειδικά για την περίπτωση μεμονωμένης ενίσχυσης με την ανωτέρω απόφαση καθορίζονται επιπλέον, το ύψος της επενδυτικής ενίσχυσης, τυχόν προκαταβολή, καθώς και το ύψος αυτής.</w:t>
      </w:r>
    </w:p>
    <w:p w14:paraId="302740CF" w14:textId="77777777" w:rsidR="005F10E5" w:rsidRPr="009B5ABA" w:rsidRDefault="005F10E5" w:rsidP="00E76414">
      <w:pPr>
        <w:pStyle w:val="a4"/>
        <w:rPr>
          <w:i/>
          <w:iCs/>
        </w:rPr>
      </w:pPr>
      <w:r w:rsidRPr="009B5ABA">
        <w:rPr>
          <w:i/>
          <w:iCs/>
        </w:rPr>
        <w:t xml:space="preserve"> 3. Κατά τα οριζόμενα στην εγκριτική απόφαση της παρ. 1:</w:t>
      </w:r>
    </w:p>
    <w:p w14:paraId="0568FCF9" w14:textId="77777777" w:rsidR="005F10E5" w:rsidRPr="009B5ABA" w:rsidRDefault="005F10E5" w:rsidP="00E76414">
      <w:pPr>
        <w:pStyle w:val="a4"/>
        <w:rPr>
          <w:i/>
          <w:iCs/>
        </w:rPr>
      </w:pPr>
      <w:r w:rsidRPr="009B5ABA">
        <w:rPr>
          <w:i/>
          <w:iCs/>
        </w:rPr>
        <w:t xml:space="preserve"> 3Α. Το ποσό της ετήσιας λειτουργικής ενίσχυσης που παρέχεται στους σταθμούς αποθήκευσης ηλεκτρικής ενέργειας, ή ανακτάται από αυτούς, υπολογίζεται αντίστοιχα ως η θετική ή αρνητική διαφορά μεταξύ:</w:t>
      </w:r>
    </w:p>
    <w:p w14:paraId="2F5B8915" w14:textId="77777777" w:rsidR="005F10E5" w:rsidRPr="009B5ABA" w:rsidRDefault="005F10E5" w:rsidP="00E76414">
      <w:pPr>
        <w:pStyle w:val="a4"/>
        <w:rPr>
          <w:i/>
          <w:iCs/>
        </w:rPr>
      </w:pPr>
      <w:r w:rsidRPr="009B5ABA">
        <w:rPr>
          <w:i/>
          <w:iCs/>
        </w:rPr>
        <w:t xml:space="preserve"> α) του κατ` έτος επιτρεπόμενου εσόδου, το οποίο λαμβάνει κάθε ενισχυόμενος σταθμός αποθήκευσης και το οποίο υπολογίζεται κατά την </w:t>
      </w:r>
      <w:proofErr w:type="spellStart"/>
      <w:r w:rsidRPr="009B5ABA">
        <w:rPr>
          <w:i/>
          <w:iCs/>
        </w:rPr>
        <w:t>υποπαρ</w:t>
      </w:r>
      <w:proofErr w:type="spellEnd"/>
      <w:r w:rsidRPr="009B5ABA">
        <w:rPr>
          <w:i/>
          <w:iCs/>
        </w:rPr>
        <w:t>. 3Β, και</w:t>
      </w:r>
    </w:p>
    <w:p w14:paraId="47EED6BC" w14:textId="77777777" w:rsidR="005F10E5" w:rsidRPr="009B5ABA" w:rsidRDefault="005F10E5" w:rsidP="00E76414">
      <w:pPr>
        <w:pStyle w:val="a4"/>
        <w:rPr>
          <w:i/>
          <w:iCs/>
        </w:rPr>
      </w:pPr>
      <w:r w:rsidRPr="009B5ABA">
        <w:rPr>
          <w:i/>
          <w:iCs/>
        </w:rPr>
        <w:t xml:space="preserve"> β) του καθαρού εσόδου του σταθμού από τη συμμετοχή του στις αγορές ηλεκτρικής ενέργειας, καθώς και από οποιαδήποτε άλλη πηγή, το οποίο νοείται ως η διαφορά μεταξύ: </w:t>
      </w:r>
      <w:proofErr w:type="spellStart"/>
      <w:r w:rsidRPr="009B5ABA">
        <w:rPr>
          <w:i/>
          <w:iCs/>
        </w:rPr>
        <w:t>βα</w:t>
      </w:r>
      <w:proofErr w:type="spellEnd"/>
      <w:r w:rsidRPr="009B5ABA">
        <w:rPr>
          <w:i/>
          <w:iCs/>
        </w:rPr>
        <w:t xml:space="preserve">) των ακαθάριστων εσόδων, από οποιαδήποτε παροχή υπηρεσιών και προϊόντων, σε όλες τις ως άνω αγορές ηλεκτρικής ενέργειας ή άλλων εσόδων, από την αξιοποίηση των παγίων του σταθμού, και </w:t>
      </w:r>
      <w:proofErr w:type="spellStart"/>
      <w:r w:rsidRPr="009B5ABA">
        <w:rPr>
          <w:i/>
          <w:iCs/>
        </w:rPr>
        <w:t>ββ</w:t>
      </w:r>
      <w:proofErr w:type="spellEnd"/>
      <w:r w:rsidRPr="009B5ABA">
        <w:rPr>
          <w:i/>
          <w:iCs/>
        </w:rPr>
        <w:t xml:space="preserve">) των δαπανών που προκύπτουν από τη δραστηριοποίηση του έργου στις αγορές ηλεκτρικής ενέργειας, στις οποίες δεν συμπεριλαμβάνονται οι δαπάνες της </w:t>
      </w:r>
      <w:proofErr w:type="spellStart"/>
      <w:r w:rsidRPr="009B5ABA">
        <w:rPr>
          <w:i/>
          <w:iCs/>
        </w:rPr>
        <w:t>υποπερ</w:t>
      </w:r>
      <w:proofErr w:type="spellEnd"/>
      <w:r w:rsidRPr="009B5ABA">
        <w:rPr>
          <w:i/>
          <w:iCs/>
        </w:rPr>
        <w:t xml:space="preserve">. </w:t>
      </w:r>
      <w:proofErr w:type="spellStart"/>
      <w:r w:rsidRPr="009B5ABA">
        <w:rPr>
          <w:i/>
          <w:iCs/>
        </w:rPr>
        <w:t>ββ</w:t>
      </w:r>
      <w:proofErr w:type="spellEnd"/>
      <w:r w:rsidRPr="009B5ABA">
        <w:rPr>
          <w:i/>
          <w:iCs/>
        </w:rPr>
        <w:t xml:space="preserve">) της περ. β) της </w:t>
      </w:r>
      <w:proofErr w:type="spellStart"/>
      <w:r w:rsidRPr="009B5ABA">
        <w:rPr>
          <w:i/>
          <w:iCs/>
        </w:rPr>
        <w:t>υποπαρ</w:t>
      </w:r>
      <w:proofErr w:type="spellEnd"/>
      <w:r w:rsidRPr="009B5ABA">
        <w:rPr>
          <w:i/>
          <w:iCs/>
        </w:rPr>
        <w:t>. 3Β.</w:t>
      </w:r>
    </w:p>
    <w:p w14:paraId="0758D04A" w14:textId="77777777" w:rsidR="005F10E5" w:rsidRPr="009B5ABA" w:rsidRDefault="005F10E5" w:rsidP="00E76414">
      <w:pPr>
        <w:pStyle w:val="a4"/>
        <w:rPr>
          <w:i/>
          <w:iCs/>
        </w:rPr>
      </w:pPr>
      <w:r w:rsidRPr="009B5ABA">
        <w:rPr>
          <w:i/>
          <w:iCs/>
        </w:rPr>
        <w:t xml:space="preserve"> 3Β. Το κατ` έτος επιτρεπόμενο έσοδο της περ. α) της </w:t>
      </w:r>
      <w:proofErr w:type="spellStart"/>
      <w:r w:rsidRPr="009B5ABA">
        <w:rPr>
          <w:i/>
          <w:iCs/>
        </w:rPr>
        <w:t>υποπαρ</w:t>
      </w:r>
      <w:proofErr w:type="spellEnd"/>
      <w:r w:rsidRPr="009B5ABA">
        <w:rPr>
          <w:i/>
          <w:iCs/>
        </w:rPr>
        <w:t>. 3Α προσδιορίζεται εξατομικευμένα ανά σταθμό αποθήκευσης ηλεκτρικής ενέργειας, σύμφωνα με τα προβλεπόμενα στις αντίστοιχες εγκριτικές αποφάσεις της παρ. 1:</w:t>
      </w:r>
    </w:p>
    <w:p w14:paraId="004895A2" w14:textId="77777777" w:rsidR="005F10E5" w:rsidRPr="009B5ABA" w:rsidRDefault="005F10E5" w:rsidP="00E76414">
      <w:pPr>
        <w:pStyle w:val="a4"/>
        <w:rPr>
          <w:i/>
          <w:iCs/>
        </w:rPr>
      </w:pPr>
      <w:r w:rsidRPr="009B5ABA">
        <w:rPr>
          <w:i/>
          <w:iCs/>
        </w:rPr>
        <w:t xml:space="preserve"> α) είτε με βάση την τιμή προσφοράς σε ανταγωνιστική διαδικασία υποβολής προσφορών,</w:t>
      </w:r>
    </w:p>
    <w:p w14:paraId="6F153203" w14:textId="77777777" w:rsidR="005F10E5" w:rsidRPr="009B5ABA" w:rsidRDefault="005F10E5" w:rsidP="00E76414">
      <w:pPr>
        <w:pStyle w:val="a4"/>
        <w:rPr>
          <w:i/>
          <w:iCs/>
        </w:rPr>
      </w:pPr>
      <w:r w:rsidRPr="009B5ABA">
        <w:rPr>
          <w:i/>
          <w:iCs/>
        </w:rPr>
        <w:t xml:space="preserve"> β) είτε περιοδικά, με βάση την αξία της ρυθμιζόμενης περιουσιακής βάσης του έργου, σε περίπτωση χορήγησης μεμονωμένης ενίσχυσης, με σκοπό την πλήρη ανάκτηση των </w:t>
      </w:r>
      <w:r w:rsidRPr="009B5ABA">
        <w:rPr>
          <w:i/>
          <w:iCs/>
        </w:rPr>
        <w:lastRenderedPageBreak/>
        <w:t>επενδυθέντων κεφαλαίων, των δαπανών λειτουργίας και συντήρησης και την εύλογη απόδοση των δεσμευμένων κεφαλαίων, με βάση το επιχειρηματικό σχέδιο και τον εγκεκριμένο εσωτερικό βαθμό απόδοσης της επένδυσης, λαμβάνοντας ιδίως υπόψη:</w:t>
      </w:r>
    </w:p>
    <w:p w14:paraId="19FCD399" w14:textId="77777777" w:rsidR="005F10E5" w:rsidRPr="009B5ABA" w:rsidRDefault="005F10E5" w:rsidP="00E76414">
      <w:pPr>
        <w:pStyle w:val="a4"/>
        <w:rPr>
          <w:i/>
          <w:iCs/>
        </w:rPr>
      </w:pPr>
      <w:r w:rsidRPr="009B5ABA">
        <w:rPr>
          <w:i/>
          <w:iCs/>
        </w:rPr>
        <w:t xml:space="preserve"> </w:t>
      </w:r>
      <w:proofErr w:type="spellStart"/>
      <w:r w:rsidRPr="009B5ABA">
        <w:rPr>
          <w:i/>
          <w:iCs/>
        </w:rPr>
        <w:t>βα</w:t>
      </w:r>
      <w:proofErr w:type="spellEnd"/>
      <w:r w:rsidRPr="009B5ABA">
        <w:rPr>
          <w:i/>
          <w:iCs/>
        </w:rPr>
        <w:t xml:space="preserve">) το σύνολο των κεφαλαιουχικών δαπανών για την κατασκευή των σταθμών αποθήκευσης ηλεκτρικής ενέργειας, συμπεριλαμβανομένων, αφενός των χρηματοπιστωτικών δαπανών της κατασκευαστικής περιόδου, όπως καθορίζονται με τις αποφάσεις των </w:t>
      </w:r>
      <w:proofErr w:type="spellStart"/>
      <w:r w:rsidRPr="009B5ABA">
        <w:rPr>
          <w:i/>
          <w:iCs/>
        </w:rPr>
        <w:t>υποπαρ</w:t>
      </w:r>
      <w:proofErr w:type="spellEnd"/>
      <w:r w:rsidRPr="009B5ABA">
        <w:rPr>
          <w:i/>
          <w:iCs/>
        </w:rPr>
        <w:t>. 2Α και 2Β της παρ. 2, καθώς και των δαπανών για τη σύνδεσή τους στο Ε.Σ.Μ.Η.Ε. και αφετέρου των πρόσθετων κεφαλαιουχικών δαπανών για την προσθήκη παγίων, κατά τη διάρκεια της χρονικής περιόδου χορήγησης της ενίσχυσης, ιδίως λόγω αναβαθμίσεων ή εκσυγχρονισμού εξοπλισμού ή προσαρμογής σε κανονιστικές απαιτήσεις. Οι ως άνω δαπάνες δεν λαμβάνονται υπόψη, εάν και κατά το ποσό που αυτές καλύπτονται από άλλο μέτρο οικονομικής στήριξης, εφόσον τέτοιο μέτρο συνιστά κρατική ενίσχυση, κατά την παρ. 1 του άρθρου 107 της Σ.Λ.Ε.Ε.,</w:t>
      </w:r>
    </w:p>
    <w:p w14:paraId="4028F6DA" w14:textId="77777777" w:rsidR="005F10E5" w:rsidRPr="009B5ABA" w:rsidRDefault="005F10E5" w:rsidP="00E76414">
      <w:pPr>
        <w:pStyle w:val="a4"/>
        <w:rPr>
          <w:i/>
          <w:iCs/>
        </w:rPr>
      </w:pPr>
      <w:r w:rsidRPr="009B5ABA">
        <w:rPr>
          <w:i/>
          <w:iCs/>
        </w:rPr>
        <w:t xml:space="preserve"> </w:t>
      </w:r>
      <w:proofErr w:type="spellStart"/>
      <w:r w:rsidRPr="009B5ABA">
        <w:rPr>
          <w:i/>
          <w:iCs/>
        </w:rPr>
        <w:t>ββ</w:t>
      </w:r>
      <w:proofErr w:type="spellEnd"/>
      <w:r w:rsidRPr="009B5ABA">
        <w:rPr>
          <w:i/>
          <w:iCs/>
        </w:rPr>
        <w:t>) τις λειτουργικές δαπάνες για μισθούς, ημερομίσθια και συναφή έξοδα, συντήρηση και επισκευή του σταθμού και τη σύνδεσή του στο Ε.Σ.Μ.Η.Ε., κάθε είδους τέλη και δασμούς για τη λειτουργία του, πλην φόρων εισοδήματος, καθώς και τις δαπάνες για την εκπλήρωση υποχρεώσεων για την παροχή υπηρεσιών κοινής ωφέλειας,</w:t>
      </w:r>
    </w:p>
    <w:p w14:paraId="615C61A0" w14:textId="77777777" w:rsidR="005F10E5" w:rsidRPr="009B5ABA" w:rsidRDefault="005F10E5" w:rsidP="00E76414">
      <w:pPr>
        <w:pStyle w:val="a4"/>
        <w:rPr>
          <w:i/>
          <w:iCs/>
        </w:rPr>
      </w:pPr>
      <w:r w:rsidRPr="009B5ABA">
        <w:rPr>
          <w:i/>
          <w:iCs/>
        </w:rPr>
        <w:t xml:space="preserve"> </w:t>
      </w:r>
      <w:proofErr w:type="spellStart"/>
      <w:r w:rsidRPr="009B5ABA">
        <w:rPr>
          <w:i/>
          <w:iCs/>
        </w:rPr>
        <w:t>βγ</w:t>
      </w:r>
      <w:proofErr w:type="spellEnd"/>
      <w:r w:rsidRPr="009B5ABA">
        <w:rPr>
          <w:i/>
          <w:iCs/>
        </w:rPr>
        <w:t>) τον εσωτερικό βαθμό απόδοσης της συνολικής επένδυσης («</w:t>
      </w:r>
      <w:proofErr w:type="spellStart"/>
      <w:r w:rsidRPr="009B5ABA">
        <w:rPr>
          <w:i/>
          <w:iCs/>
        </w:rPr>
        <w:t>project</w:t>
      </w:r>
      <w:proofErr w:type="spellEnd"/>
      <w:r w:rsidRPr="009B5ABA">
        <w:rPr>
          <w:i/>
          <w:iCs/>
        </w:rPr>
        <w:t xml:space="preserve"> IRR») που έχει εγκριθεί με την απόφαση της Ευρωπαϊκής Επιτροπής της παρ. 1, ώστε να διασφαλίζεται η πλήρης απόδοση των επενδυθέντων ιδίων και ξένων (δανειακών) κεφαλαίων, ανεξάρτητα από τη διάρθρωση αυτών, συμπεριλαμβανομένου και του αναγκαίου κεφαλαίου κίνησης,</w:t>
      </w:r>
    </w:p>
    <w:p w14:paraId="74CFD0F7" w14:textId="77777777" w:rsidR="005F10E5" w:rsidRPr="009B5ABA" w:rsidRDefault="005F10E5" w:rsidP="00E76414">
      <w:pPr>
        <w:pStyle w:val="a4"/>
        <w:rPr>
          <w:i/>
          <w:iCs/>
        </w:rPr>
      </w:pPr>
      <w:r w:rsidRPr="009B5ABA">
        <w:rPr>
          <w:i/>
          <w:iCs/>
        </w:rPr>
        <w:t xml:space="preserve"> </w:t>
      </w:r>
      <w:proofErr w:type="spellStart"/>
      <w:r w:rsidRPr="009B5ABA">
        <w:rPr>
          <w:i/>
          <w:iCs/>
        </w:rPr>
        <w:t>βδ</w:t>
      </w:r>
      <w:proofErr w:type="spellEnd"/>
      <w:r w:rsidRPr="009B5ABA">
        <w:rPr>
          <w:i/>
          <w:iCs/>
        </w:rPr>
        <w:t>) τη χρονική περίοδο χορήγησης της ενίσχυσης, κατά την απόφαση της παρ. 1.</w:t>
      </w:r>
    </w:p>
    <w:p w14:paraId="3C9F0889" w14:textId="77777777" w:rsidR="005F10E5" w:rsidRPr="009B5ABA" w:rsidRDefault="005F10E5" w:rsidP="00E76414">
      <w:pPr>
        <w:pStyle w:val="a4"/>
        <w:rPr>
          <w:i/>
          <w:iCs/>
        </w:rPr>
      </w:pPr>
      <w:r w:rsidRPr="009B5ABA">
        <w:rPr>
          <w:i/>
          <w:iCs/>
        </w:rPr>
        <w:t xml:space="preserve"> 3Γ. Το κατ` έτος επιτρεπόμενο έσοδο της περ. α) της </w:t>
      </w:r>
      <w:proofErr w:type="spellStart"/>
      <w:r w:rsidRPr="009B5ABA">
        <w:rPr>
          <w:i/>
          <w:iCs/>
        </w:rPr>
        <w:t>υποπαρ</w:t>
      </w:r>
      <w:proofErr w:type="spellEnd"/>
      <w:r w:rsidRPr="009B5ABA">
        <w:rPr>
          <w:i/>
          <w:iCs/>
        </w:rPr>
        <w:t xml:space="preserve">. 3Α δύναται να προσαυξάνεται ή να </w:t>
      </w:r>
      <w:proofErr w:type="spellStart"/>
      <w:r w:rsidRPr="009B5ABA">
        <w:rPr>
          <w:i/>
          <w:iCs/>
        </w:rPr>
        <w:t>απομειώνεται</w:t>
      </w:r>
      <w:proofErr w:type="spellEnd"/>
      <w:r w:rsidRPr="009B5ABA">
        <w:rPr>
          <w:i/>
          <w:iCs/>
        </w:rPr>
        <w:t xml:space="preserve"> στον ελάχιστο αναγκαίο βαθμό, με την εφαρμογή κινήτρων απόδοσης για τη διασφάλιση της, κατά το δυνατόν, αποδοτικότερης συμμετοχής του σταθμού στις αγορές ηλεκτρικής ενέργειας, προς τον σκοπό της αύξησης των καθαρών εσόδων αυτού και της αντίστοιχης μείωσης του ποσού της αναγκαίας ετήσιας λειτουργικής ενίσχυσης, καθώς και της κατά το δυνατόν επωφελέστερης λειτουργίας του σταθμού αποθήκευσης, ιδίως για λόγους αύξησης της απορρόφησης ηλεκτρικής ενέργειας από Ανανεώσιμες Πηγές Ενέργειας και συμβολής του σταθμού αποθήκευσης ηλεκτρικής ενέργειας στην ασφάλεια εφοδιασμού και την επάρκεια ισχύος του διασυνδεδεμένου συστήματος ηλεκτρικής ενέργειας. Τα κίνητρα απόδοσης δύνανται να οδηγούν σε υπέρ-ανάκτηση ή υπό-ανάκτηση του επιτρεπόμενου ετήσιου εσόδου που απαιτείται για την επίτευξη του εγκεκριμένου εσωτερικού βαθμού απόδοσης έργου («</w:t>
      </w:r>
      <w:proofErr w:type="spellStart"/>
      <w:r w:rsidRPr="009B5ABA">
        <w:rPr>
          <w:i/>
          <w:iCs/>
        </w:rPr>
        <w:t>project</w:t>
      </w:r>
      <w:proofErr w:type="spellEnd"/>
      <w:r w:rsidRPr="009B5ABA">
        <w:rPr>
          <w:i/>
          <w:iCs/>
        </w:rPr>
        <w:t xml:space="preserve"> IRR») ή του επιτρεπόμενου ετησίου εσόδου που προκύπτει από τη συμμετοχή του έργου σε ανταγωνιστική διαδικασία, κατά τις αποφάσεις των </w:t>
      </w:r>
      <w:proofErr w:type="spellStart"/>
      <w:r w:rsidRPr="009B5ABA">
        <w:rPr>
          <w:i/>
          <w:iCs/>
        </w:rPr>
        <w:t>υποπαρ</w:t>
      </w:r>
      <w:proofErr w:type="spellEnd"/>
      <w:r w:rsidRPr="009B5ABA">
        <w:rPr>
          <w:i/>
          <w:iCs/>
        </w:rPr>
        <w:t>. 2Α και 2Β της παρ. 2.</w:t>
      </w:r>
    </w:p>
    <w:p w14:paraId="6638C2C7" w14:textId="2BF4B1DA" w:rsidR="005F10E5" w:rsidRPr="009B5ABA" w:rsidRDefault="005F10E5" w:rsidP="00E76414">
      <w:pPr>
        <w:pStyle w:val="a4"/>
        <w:rPr>
          <w:i/>
          <w:iCs/>
        </w:rPr>
      </w:pPr>
      <w:r w:rsidRPr="009B5ABA">
        <w:rPr>
          <w:i/>
          <w:iCs/>
        </w:rPr>
        <w:t xml:space="preserve"> 4. Η ανταγωνιστική διαδικασία υποβολής προσφορών των παρ. 1 έως 3, προκηρύσσεται με απόφαση της Ρυθμιστικής Αρχής Ενέργειας (</w:t>
      </w:r>
      <w:r w:rsidR="00CF21E9" w:rsidRPr="009B5ABA">
        <w:rPr>
          <w:i/>
          <w:iCs/>
        </w:rPr>
        <w:t>Ρ.Α.</w:t>
      </w:r>
      <w:r w:rsidR="004115FC" w:rsidRPr="009B5ABA" w:rsidDel="004115FC">
        <w:rPr>
          <w:i/>
          <w:iCs/>
        </w:rPr>
        <w:t xml:space="preserve"> </w:t>
      </w:r>
      <w:r w:rsidR="00CF21E9" w:rsidRPr="009B5ABA">
        <w:rPr>
          <w:i/>
          <w:iCs/>
        </w:rPr>
        <w:t>Ε.</w:t>
      </w:r>
      <w:r w:rsidRPr="009B5ABA">
        <w:rPr>
          <w:i/>
          <w:iCs/>
        </w:rPr>
        <w:t xml:space="preserve">), η οποία δημοσιεύεται στην Εφημερίδα της Κυβερνήσεως. Στην απόφαση αυτή, υπό την επιφύλαξη της παρ. 2, καθορίζονται, ιδίως, οι όροι, οι προϋποθέσεις, οι διαδικασίες και τα κριτήρια για τη συμμετοχή στην ανταγωνιστική διαδικασία και την αξιολόγηση των προσφορών, η καταβολή τέλους συμμετοχής υπέρ της </w:t>
      </w:r>
      <w:r w:rsidR="00CF21E9" w:rsidRPr="009B5ABA">
        <w:rPr>
          <w:i/>
          <w:iCs/>
        </w:rPr>
        <w:t>Ρ.Α.Α.Ε.Υ.</w:t>
      </w:r>
      <w:r w:rsidRPr="009B5ABA">
        <w:rPr>
          <w:i/>
          <w:iCs/>
        </w:rPr>
        <w:t xml:space="preserve">, τα στοιχεία των απαιτούμενων εγγυητικών επιστολών για τη συμμετοχή στην ανταγωνιστική διαδικασία, καθώς και την κατασκευή και ενεργοποίηση της σύνδεσης των σταθμών που επελέγησαν σε αυτή, ρήτρες που επιβάλλονται σε περίπτωση μη εμπρόθεσμης υλοποίησης των έργων και κάθε άλλη λεπτομέρεια αναφορικά με τη διενέργεια της ανταγωνιστικής διαδικασίας. Για τη διενέργεια των ανταγωνιστικών διαδικασιών υποβολής προσφορών και την κατακύρωση των αποτελεσμάτων των ανταγωνιστικών διαδικασιών υποβολής προσφορών αρμόδια είναι η </w:t>
      </w:r>
      <w:r w:rsidR="00CF21E9" w:rsidRPr="009B5ABA">
        <w:rPr>
          <w:i/>
          <w:iCs/>
        </w:rPr>
        <w:t>Ρ.Α.Α.Ε.Υ.</w:t>
      </w:r>
    </w:p>
    <w:p w14:paraId="3C1D5BE3" w14:textId="707E4A5A" w:rsidR="005F10E5" w:rsidRPr="009B5ABA" w:rsidRDefault="005F10E5" w:rsidP="00E76414">
      <w:pPr>
        <w:pStyle w:val="a4"/>
        <w:rPr>
          <w:i/>
          <w:iCs/>
        </w:rPr>
      </w:pPr>
      <w:r w:rsidRPr="009B5ABA">
        <w:rPr>
          <w:i/>
          <w:iCs/>
        </w:rPr>
        <w:t xml:space="preserve"> 5. Με απόφαση της </w:t>
      </w:r>
      <w:r w:rsidR="00CF21E9" w:rsidRPr="009B5ABA">
        <w:rPr>
          <w:i/>
          <w:iCs/>
        </w:rPr>
        <w:t>Ρ.Α.</w:t>
      </w:r>
      <w:r w:rsidR="004115FC" w:rsidRPr="009B5ABA" w:rsidDel="004115FC">
        <w:rPr>
          <w:i/>
          <w:iCs/>
        </w:rPr>
        <w:t xml:space="preserve"> </w:t>
      </w:r>
      <w:r w:rsidR="00CF21E9" w:rsidRPr="009B5ABA">
        <w:rPr>
          <w:i/>
          <w:iCs/>
        </w:rPr>
        <w:t>Ε.</w:t>
      </w:r>
      <w:r w:rsidRPr="009B5ABA">
        <w:rPr>
          <w:i/>
          <w:iCs/>
        </w:rPr>
        <w:t xml:space="preserve">, η οποία δημοσιεύεται στην Εφημερίδα της Κυβερνήσεως, καθορίζονται η ρυθμιστική περίοδος υπολογισμού της λειτουργικής ενίσχυσης και η </w:t>
      </w:r>
      <w:r w:rsidRPr="009B5ABA">
        <w:rPr>
          <w:i/>
          <w:iCs/>
        </w:rPr>
        <w:lastRenderedPageBreak/>
        <w:t xml:space="preserve">μεθοδολογία για τον υπολογισμό του ποσού της λειτουργικής ενίσχυσης που χορηγείται σε κάθε ενισχυόμενο σταθμό, βάσει των κανόνων και κατευθύνσεων που καθορίζονται με τις αποφάσεις του Υπουργού Περιβάλλοντος και Ενέργειας των </w:t>
      </w:r>
      <w:proofErr w:type="spellStart"/>
      <w:r w:rsidRPr="009B5ABA">
        <w:rPr>
          <w:i/>
          <w:iCs/>
        </w:rPr>
        <w:t>υποπαρ</w:t>
      </w:r>
      <w:proofErr w:type="spellEnd"/>
      <w:r w:rsidRPr="009B5ABA">
        <w:rPr>
          <w:i/>
          <w:iCs/>
        </w:rPr>
        <w:t>. 2Α και 2Β της παρ.2.</w:t>
      </w:r>
    </w:p>
    <w:p w14:paraId="3485388D" w14:textId="16DC5D37" w:rsidR="005F10E5" w:rsidRPr="009B5ABA" w:rsidRDefault="005F10E5" w:rsidP="00E76414">
      <w:pPr>
        <w:pStyle w:val="a4"/>
        <w:rPr>
          <w:i/>
          <w:iCs/>
        </w:rPr>
      </w:pPr>
      <w:r w:rsidRPr="009B5ABA">
        <w:rPr>
          <w:i/>
          <w:iCs/>
        </w:rPr>
        <w:t xml:space="preserve"> 6. Προς εφαρμογή της μεθοδολογίας της παρ. 5, με σχετικές αποφάσεις της </w:t>
      </w:r>
      <w:r w:rsidR="00CF21E9" w:rsidRPr="009B5ABA">
        <w:rPr>
          <w:i/>
          <w:iCs/>
        </w:rPr>
        <w:t>Ρ.Α.Ε.</w:t>
      </w:r>
      <w:r w:rsidRPr="009B5ABA">
        <w:rPr>
          <w:i/>
          <w:iCs/>
        </w:rPr>
        <w:t xml:space="preserve">, καθορίζεται το ποσό της λειτουργικής ενίσχυσης που λαμβάνει ή επιστρέφει κάθε ενισχυόμενος σταθμός αποθήκευσης ηλεκτρικής ενέργειας, εντός της προσεχούς ρυθμιστικής περιόδου, καθώς και ο τρόπος καταβολής των ποσών αυτών, και εκκαθαρίζονται τα σχετικά ποσά προηγούμενης περιόδου, κατά τις αποφάσεις των </w:t>
      </w:r>
      <w:proofErr w:type="spellStart"/>
      <w:r w:rsidRPr="009B5ABA">
        <w:rPr>
          <w:i/>
          <w:iCs/>
        </w:rPr>
        <w:t>υποπαρ</w:t>
      </w:r>
      <w:proofErr w:type="spellEnd"/>
      <w:r w:rsidRPr="009B5ABA">
        <w:rPr>
          <w:i/>
          <w:iCs/>
        </w:rPr>
        <w:t>. 2Α και 2Β της παρ. 2 και την οικεία εγκριτική απόφαση της Ευρωπαϊκής Επιτροπής, και γίνονται οι σχετικές χρεοπιστώσεις.</w:t>
      </w:r>
    </w:p>
    <w:p w14:paraId="604CC1F9" w14:textId="77777777" w:rsidR="005F10E5" w:rsidRPr="009B5ABA" w:rsidRDefault="005F10E5" w:rsidP="00E76414">
      <w:pPr>
        <w:pStyle w:val="a4"/>
        <w:rPr>
          <w:i/>
          <w:iCs/>
        </w:rPr>
      </w:pPr>
      <w:r w:rsidRPr="009B5ABA">
        <w:rPr>
          <w:i/>
          <w:iCs/>
        </w:rPr>
        <w:t xml:space="preserve"> 7. Οι σταθμοί αποθήκευσης ηλεκτρικής ενέργειας που εντάσσονται στο καθεστώς ενίσχυσης του παρόντος συμμετέχουν ανταγωνιστικά στην αγορά ηλεκτρικής ενέργειας, σύμφωνα με τις ειδικότερες προβλέψεις της κείμενης νομοθεσίας, ιδίως δε των Κανονισμών του άρθρου 18 του ν. 4425/2016 (Α` 185) και του Κώδικα Διαχείρισης του Ε.Σ.Μ.Η.Ε. (Β` 4658/22.10.2020) και υπόκεινται σε υποχρέωση λογιστικού διαχωρισμού. Για τις ανάγκες εφαρμογής του προηγούμενου εδαφίου, η αποθήκευση ηλεκτρικής ενέργειας τεκμαίρεται ως διακριτή ενεργειακή δραστηριότητα.</w:t>
      </w:r>
    </w:p>
    <w:p w14:paraId="49F8C7A5" w14:textId="396CC54F" w:rsidR="005F10E5" w:rsidRPr="009B5ABA" w:rsidRDefault="005F10E5" w:rsidP="00E76414">
      <w:pPr>
        <w:pStyle w:val="a4"/>
        <w:rPr>
          <w:b/>
          <w:bCs/>
          <w:i/>
          <w:iCs/>
        </w:rPr>
      </w:pPr>
      <w:r w:rsidRPr="009B5ABA">
        <w:rPr>
          <w:i/>
          <w:iCs/>
        </w:rPr>
        <w:t xml:space="preserve"> 8. Οι λεπτομέρειες εφαρμογής του παρόντος δύνανται να καθορίζονται με τον Κώδικα Διαχείρισης του Ε.Σ.Μ.Η.Ε., μετά από εισήγηση του αρμόδιου Διαχειριστή.</w:t>
      </w:r>
      <w:r w:rsidRPr="009B5ABA">
        <w:rPr>
          <w:b/>
          <w:bCs/>
          <w:i/>
          <w:iCs/>
        </w:rPr>
        <w:t>»</w:t>
      </w:r>
    </w:p>
    <w:p w14:paraId="69F341B3" w14:textId="41284448" w:rsidR="00582616" w:rsidRPr="004E7B57" w:rsidRDefault="005C79E5" w:rsidP="00E76414">
      <w:r w:rsidRPr="004E7B57">
        <w:rPr>
          <w:b/>
          <w:bCs/>
        </w:rPr>
        <w:t>1.</w:t>
      </w:r>
      <w:r w:rsidR="00DF7D93">
        <w:rPr>
          <w:b/>
          <w:bCs/>
        </w:rPr>
        <w:t>3</w:t>
      </w:r>
      <w:r w:rsidRPr="004E7B57">
        <w:rPr>
          <w:b/>
          <w:bCs/>
        </w:rPr>
        <w:t>.</w:t>
      </w:r>
      <w:r w:rsidRPr="004E7B57">
        <w:t xml:space="preserve"> </w:t>
      </w:r>
      <w:r w:rsidR="00C11F23" w:rsidRPr="004E7B57">
        <w:t>Ακολούθως,</w:t>
      </w:r>
      <w:r w:rsidR="00F525DD" w:rsidRPr="004E7B57">
        <w:t xml:space="preserve"> </w:t>
      </w:r>
      <w:proofErr w:type="spellStart"/>
      <w:r w:rsidR="00F525DD" w:rsidRPr="004E7B57">
        <w:t>εξεδόθη</w:t>
      </w:r>
      <w:proofErr w:type="spellEnd"/>
      <w:r w:rsidR="00F525DD" w:rsidRPr="004E7B57">
        <w:t xml:space="preserve"> η υπ’ αριθ. </w:t>
      </w:r>
      <w:r w:rsidR="004115FC">
        <w:t xml:space="preserve">ΥΠΕΝ/ΔΗΕ/55948/1087 </w:t>
      </w:r>
      <w:r w:rsidR="00742B68" w:rsidRPr="004E7B57">
        <w:t xml:space="preserve"> </w:t>
      </w:r>
      <w:r w:rsidR="004115FC">
        <w:t>Α</w:t>
      </w:r>
      <w:r w:rsidR="004115FC" w:rsidRPr="004E7B57">
        <w:t xml:space="preserve">πόφαση </w:t>
      </w:r>
      <w:r w:rsidR="004115FC">
        <w:t xml:space="preserve">των Υπουργών Οικονομικών, Ανάπτυξης και Επενδύσεων και Περιβάλλοντος και Ενέργειας </w:t>
      </w:r>
      <w:r w:rsidR="00F525DD" w:rsidRPr="004E7B57">
        <w:t>«</w:t>
      </w:r>
      <w:r w:rsidR="00F525DD" w:rsidRPr="00C41D29">
        <w:rPr>
          <w:i/>
          <w:iCs/>
        </w:rPr>
        <w:t xml:space="preserve">Ανταγωνιστικές διαδικασίες για τη χορήγηση λειτουργικής ενίσχυσης σε σταθμούς αποθήκευσης ηλεκτρικής ενέργειας, σύμφωνα με την </w:t>
      </w:r>
      <w:proofErr w:type="spellStart"/>
      <w:r w:rsidR="00E30574" w:rsidRPr="00C41D29">
        <w:rPr>
          <w:i/>
          <w:iCs/>
        </w:rPr>
        <w:t>υπο</w:t>
      </w:r>
      <w:r w:rsidR="00F525DD" w:rsidRPr="00C41D29">
        <w:rPr>
          <w:i/>
          <w:iCs/>
        </w:rPr>
        <w:t>παρ</w:t>
      </w:r>
      <w:proofErr w:type="spellEnd"/>
      <w:r w:rsidR="00F525DD" w:rsidRPr="00C41D29">
        <w:rPr>
          <w:i/>
          <w:iCs/>
        </w:rPr>
        <w:t xml:space="preserve">. 2Α </w:t>
      </w:r>
      <w:r w:rsidR="00E30574" w:rsidRPr="00C41D29">
        <w:rPr>
          <w:i/>
          <w:iCs/>
        </w:rPr>
        <w:t xml:space="preserve">της παρ. 2 </w:t>
      </w:r>
      <w:r w:rsidR="00F525DD" w:rsidRPr="00C41D29">
        <w:rPr>
          <w:i/>
          <w:iCs/>
        </w:rPr>
        <w:t>του άρθρου 143ΣΤ του ν. 4001/2011 (Α’ 179</w:t>
      </w:r>
      <w:r w:rsidR="004115FC" w:rsidRPr="00C41D29">
        <w:rPr>
          <w:i/>
          <w:iCs/>
        </w:rPr>
        <w:t>)</w:t>
      </w:r>
      <w:r w:rsidR="00F525DD" w:rsidRPr="004E7B57">
        <w:t xml:space="preserve">.» </w:t>
      </w:r>
      <w:r w:rsidR="004115FC" w:rsidRPr="004E7B57">
        <w:t>(</w:t>
      </w:r>
      <w:r w:rsidR="004115FC">
        <w:t xml:space="preserve">ΦΕΚ </w:t>
      </w:r>
      <w:r w:rsidR="00F525DD" w:rsidRPr="004E7B57">
        <w:t>Β’</w:t>
      </w:r>
      <w:r w:rsidR="00E267E5" w:rsidRPr="00E267E5">
        <w:t xml:space="preserve"> 3416</w:t>
      </w:r>
      <w:r w:rsidR="00F525DD" w:rsidRPr="004E7B57">
        <w:t>/2023)</w:t>
      </w:r>
      <w:r w:rsidR="00582616" w:rsidRPr="004E7B57">
        <w:t xml:space="preserve"> (εφεξής η «Υπουργική Απόφαση»),</w:t>
      </w:r>
      <w:r w:rsidR="00B0141B" w:rsidRPr="004E7B57">
        <w:t xml:space="preserve"> με τη οποία καθορίστηκαν ειδικοί όροι και προϋποθέσεις διεξαγωγής των ανταγωνιστικών διαδικασιών κατ` εφαρμογή των όρων της Εγκριτικής Απόφασης.</w:t>
      </w:r>
      <w:r w:rsidR="00FD4930" w:rsidRPr="004E7B57">
        <w:t xml:space="preserve"> </w:t>
      </w:r>
      <w:r w:rsidR="00582616" w:rsidRPr="004E7B57">
        <w:t>Δυνάμει της Υπουργικής Απόφασης</w:t>
      </w:r>
      <w:r w:rsidR="00BD187E" w:rsidRPr="004E7B57">
        <w:t>:</w:t>
      </w:r>
    </w:p>
    <w:p w14:paraId="0B51784C" w14:textId="2E2D4A9C" w:rsidR="00BD187E" w:rsidRPr="004E7B57" w:rsidRDefault="00BD187E" w:rsidP="00E76414">
      <w:pPr>
        <w:pStyle w:val="a4"/>
      </w:pPr>
      <w:r w:rsidRPr="004E7B57">
        <w:rPr>
          <w:b/>
          <w:bCs/>
        </w:rPr>
        <w:t>(α)</w:t>
      </w:r>
      <w:r w:rsidRPr="004E7B57">
        <w:t xml:space="preserve"> Η συνολική δημοπρατούμενη ισχύς μέσω των Ανταγωνιστικών Διαδικασιών υποβολής προσφορών</w:t>
      </w:r>
      <w:r w:rsidR="00E30574" w:rsidRPr="004E7B57">
        <w:t xml:space="preserve">, η οποία </w:t>
      </w:r>
      <w:r w:rsidRPr="004E7B57">
        <w:t xml:space="preserve"> ανέρχεται σε </w:t>
      </w:r>
      <w:r w:rsidR="00117824" w:rsidRPr="004E7B57">
        <w:t>χίλια</w:t>
      </w:r>
      <w:r w:rsidR="00F2748D" w:rsidRPr="004E7B57">
        <w:t xml:space="preserve"> </w:t>
      </w:r>
      <w:r w:rsidRPr="004E7B57">
        <w:t>(</w:t>
      </w:r>
      <w:r w:rsidR="00117824" w:rsidRPr="004E7B57">
        <w:t>1.0</w:t>
      </w:r>
      <w:r w:rsidRPr="004E7B57">
        <w:t>00)</w:t>
      </w:r>
      <w:r w:rsidR="00E267E5" w:rsidRPr="00E267E5">
        <w:t xml:space="preserve"> </w:t>
      </w:r>
      <w:r w:rsidRPr="004E7B57">
        <w:t>MW</w:t>
      </w:r>
      <w:r w:rsidR="00A63BAB">
        <w:t xml:space="preserve"> μέγιστης ισχύος έγχυσης</w:t>
      </w:r>
      <w:r w:rsidR="00E30574" w:rsidRPr="004E7B57">
        <w:t xml:space="preserve">, </w:t>
      </w:r>
      <w:r w:rsidRPr="004E7B57">
        <w:t xml:space="preserve">επιμερίζεται ανά </w:t>
      </w:r>
      <w:r w:rsidR="00117824" w:rsidRPr="004E7B57">
        <w:t xml:space="preserve">Ανταγωνιστική </w:t>
      </w:r>
      <w:r w:rsidRPr="004E7B57">
        <w:t xml:space="preserve">Διαδικασία στον Πίνακα 1, στον οποίο καθορίζονται τα είδη και ο αριθμός των Ανταγωνιστικών Διαδικασιών. Η τελικώς </w:t>
      </w:r>
      <w:r w:rsidR="006C1230">
        <w:t>δημοπρατούμενη</w:t>
      </w:r>
      <w:r w:rsidRPr="004E7B57">
        <w:t xml:space="preserve"> ισχύς κάθε Ανταγωνιστικής Διαδικασίας ενδέχεται να </w:t>
      </w:r>
      <w:r w:rsidR="006C1230">
        <w:t>διαφοροποιείται</w:t>
      </w:r>
      <w:r w:rsidRPr="004E7B57">
        <w:t xml:space="preserve"> σε σχέση με τη δημοπρατούμενη ισχύ του Πίνακα 1, λόγω εφαρμογής των διατάξεων των άρθρων 4</w:t>
      </w:r>
      <w:r w:rsidR="0057118D" w:rsidRPr="004E7B57">
        <w:t xml:space="preserve"> και</w:t>
      </w:r>
      <w:r w:rsidR="00F2748D" w:rsidRPr="004E7B57">
        <w:t xml:space="preserve"> </w:t>
      </w:r>
      <w:r w:rsidRPr="004E7B57">
        <w:t>5 της Υπουργικής Απόφασης.</w:t>
      </w:r>
    </w:p>
    <w:p w14:paraId="4F80A3C5" w14:textId="5B16491E" w:rsidR="00BD187E" w:rsidRPr="004E7B57" w:rsidRDefault="00BD187E" w:rsidP="00E76414">
      <w:pPr>
        <w:pStyle w:val="a4"/>
      </w:pPr>
      <w:r w:rsidRPr="004E7B57">
        <w:t>Πίνακας 1. Δημοπρατούμενη ισχύς ανά Ανταγωνιστική Διαδικασία</w:t>
      </w:r>
    </w:p>
    <w:tbl>
      <w:tblPr>
        <w:tblW w:w="9497"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24"/>
        <w:gridCol w:w="3938"/>
        <w:gridCol w:w="2835"/>
      </w:tblGrid>
      <w:tr w:rsidR="00BD187E" w:rsidRPr="004E7B57" w14:paraId="63B610F0" w14:textId="77777777" w:rsidTr="009B5ABA">
        <w:tc>
          <w:tcPr>
            <w:tcW w:w="2724" w:type="dxa"/>
            <w:shd w:val="clear" w:color="auto" w:fill="auto"/>
            <w:tcMar>
              <w:top w:w="100" w:type="dxa"/>
              <w:left w:w="100" w:type="dxa"/>
              <w:bottom w:w="100" w:type="dxa"/>
              <w:right w:w="100" w:type="dxa"/>
            </w:tcMar>
          </w:tcPr>
          <w:p w14:paraId="3462C530" w14:textId="736C5C8C" w:rsidR="00BD187E" w:rsidRPr="004E7B57" w:rsidRDefault="00BD187E" w:rsidP="009B5ABA">
            <w:pPr>
              <w:spacing w:after="0" w:line="240" w:lineRule="auto"/>
            </w:pPr>
            <w:r w:rsidRPr="004E7B57">
              <w:t xml:space="preserve">Έτος – </w:t>
            </w:r>
          </w:p>
          <w:p w14:paraId="1517A432" w14:textId="50B46A67" w:rsidR="00BD187E" w:rsidRPr="004E7B57" w:rsidRDefault="00BD187E" w:rsidP="009B5ABA">
            <w:pPr>
              <w:spacing w:after="0" w:line="240" w:lineRule="auto"/>
            </w:pPr>
            <w:r w:rsidRPr="004E7B57">
              <w:t xml:space="preserve">Τρίμηνο προκήρυξης </w:t>
            </w:r>
          </w:p>
        </w:tc>
        <w:tc>
          <w:tcPr>
            <w:tcW w:w="3938" w:type="dxa"/>
            <w:shd w:val="clear" w:color="auto" w:fill="auto"/>
            <w:tcMar>
              <w:top w:w="100" w:type="dxa"/>
              <w:left w:w="100" w:type="dxa"/>
              <w:bottom w:w="100" w:type="dxa"/>
              <w:right w:w="100" w:type="dxa"/>
            </w:tcMar>
          </w:tcPr>
          <w:p w14:paraId="4702CDA8" w14:textId="3EA6DAC6" w:rsidR="00BD187E" w:rsidRPr="004E7B57" w:rsidRDefault="00BD187E" w:rsidP="009B5ABA">
            <w:pPr>
              <w:spacing w:after="0" w:line="240" w:lineRule="auto"/>
            </w:pPr>
            <w:r w:rsidRPr="004E7B57">
              <w:t>Είδος ανταγωνιστικών διαδικασιών υποβολής προσφορών</w:t>
            </w:r>
          </w:p>
        </w:tc>
        <w:tc>
          <w:tcPr>
            <w:tcW w:w="2835" w:type="dxa"/>
            <w:shd w:val="clear" w:color="auto" w:fill="auto"/>
            <w:tcMar>
              <w:top w:w="100" w:type="dxa"/>
              <w:left w:w="100" w:type="dxa"/>
              <w:bottom w:w="100" w:type="dxa"/>
              <w:right w:w="100" w:type="dxa"/>
            </w:tcMar>
          </w:tcPr>
          <w:p w14:paraId="51988869" w14:textId="77777777" w:rsidR="00BD187E" w:rsidRPr="004E7B57" w:rsidRDefault="00BD187E" w:rsidP="009B5ABA">
            <w:pPr>
              <w:spacing w:after="0" w:line="240" w:lineRule="auto"/>
            </w:pPr>
            <w:r w:rsidRPr="004E7B57">
              <w:t>Συνολική δημοπρατούμενη ισχύς (MW)</w:t>
            </w:r>
          </w:p>
        </w:tc>
      </w:tr>
      <w:tr w:rsidR="00BD187E" w:rsidRPr="004E7B57" w14:paraId="2B8DE5CA" w14:textId="77777777" w:rsidTr="009B5ABA">
        <w:tc>
          <w:tcPr>
            <w:tcW w:w="2724" w:type="dxa"/>
            <w:shd w:val="clear" w:color="auto" w:fill="auto"/>
            <w:tcMar>
              <w:top w:w="100" w:type="dxa"/>
              <w:left w:w="100" w:type="dxa"/>
              <w:bottom w:w="100" w:type="dxa"/>
              <w:right w:w="100" w:type="dxa"/>
            </w:tcMar>
          </w:tcPr>
          <w:p w14:paraId="5AB4BD7F" w14:textId="4933AC5C" w:rsidR="00BD187E" w:rsidRPr="004E7B57" w:rsidRDefault="00BD187E" w:rsidP="009B5ABA">
            <w:pPr>
              <w:spacing w:after="0" w:line="240" w:lineRule="auto"/>
              <w:rPr>
                <w:lang w:val="en-US"/>
              </w:rPr>
            </w:pPr>
            <w:r w:rsidRPr="004E7B57">
              <w:t>202</w:t>
            </w:r>
            <w:r w:rsidR="00117824" w:rsidRPr="004E7B57">
              <w:t>3</w:t>
            </w:r>
            <w:r w:rsidRPr="004E7B57">
              <w:t xml:space="preserve"> - Β’ </w:t>
            </w:r>
          </w:p>
        </w:tc>
        <w:tc>
          <w:tcPr>
            <w:tcW w:w="3938" w:type="dxa"/>
            <w:shd w:val="clear" w:color="auto" w:fill="auto"/>
            <w:tcMar>
              <w:top w:w="100" w:type="dxa"/>
              <w:left w:w="100" w:type="dxa"/>
              <w:bottom w:w="100" w:type="dxa"/>
              <w:right w:w="100" w:type="dxa"/>
            </w:tcMar>
          </w:tcPr>
          <w:p w14:paraId="62D6AA12" w14:textId="70529AFE" w:rsidR="00BD187E" w:rsidRPr="004E7B57" w:rsidRDefault="00E8573B" w:rsidP="009B5ABA">
            <w:pPr>
              <w:spacing w:after="0" w:line="240" w:lineRule="auto"/>
            </w:pPr>
            <w:r w:rsidRPr="004E7B57">
              <w:t>Α΄</w:t>
            </w:r>
            <w:r w:rsidR="00923E5B" w:rsidRPr="004E7B57">
              <w:t xml:space="preserve"> </w:t>
            </w:r>
            <w:r w:rsidR="00BD187E" w:rsidRPr="004E7B57">
              <w:t xml:space="preserve">Ανταγωνιστική Διαδικασία </w:t>
            </w:r>
          </w:p>
        </w:tc>
        <w:tc>
          <w:tcPr>
            <w:tcW w:w="2835" w:type="dxa"/>
            <w:shd w:val="clear" w:color="auto" w:fill="auto"/>
            <w:tcMar>
              <w:top w:w="100" w:type="dxa"/>
              <w:left w:w="100" w:type="dxa"/>
              <w:bottom w:w="100" w:type="dxa"/>
              <w:right w:w="100" w:type="dxa"/>
            </w:tcMar>
          </w:tcPr>
          <w:p w14:paraId="604754D2" w14:textId="5E680FAD" w:rsidR="00BD187E" w:rsidRPr="004E7B57" w:rsidRDefault="00117824" w:rsidP="009B5ABA">
            <w:pPr>
              <w:spacing w:after="0" w:line="240" w:lineRule="auto"/>
            </w:pPr>
            <w:r w:rsidRPr="004E7B57">
              <w:t>400</w:t>
            </w:r>
            <w:r w:rsidR="00BD187E" w:rsidRPr="004E7B57">
              <w:t xml:space="preserve"> </w:t>
            </w:r>
          </w:p>
        </w:tc>
      </w:tr>
      <w:tr w:rsidR="00BD187E" w:rsidRPr="004E7B57" w14:paraId="163CFA81" w14:textId="77777777" w:rsidTr="009B5ABA">
        <w:tc>
          <w:tcPr>
            <w:tcW w:w="2724" w:type="dxa"/>
            <w:shd w:val="clear" w:color="auto" w:fill="auto"/>
            <w:tcMar>
              <w:top w:w="100" w:type="dxa"/>
              <w:left w:w="100" w:type="dxa"/>
              <w:bottom w:w="100" w:type="dxa"/>
              <w:right w:w="100" w:type="dxa"/>
            </w:tcMar>
          </w:tcPr>
          <w:p w14:paraId="7DB546A1" w14:textId="3FF38386" w:rsidR="00BD187E" w:rsidRPr="004E7B57" w:rsidRDefault="00BD187E" w:rsidP="009B5ABA">
            <w:pPr>
              <w:spacing w:after="0" w:line="240" w:lineRule="auto"/>
            </w:pPr>
            <w:r w:rsidRPr="004E7B57">
              <w:t>202</w:t>
            </w:r>
            <w:r w:rsidR="00117824" w:rsidRPr="004E7B57">
              <w:t>3</w:t>
            </w:r>
            <w:r w:rsidRPr="004E7B57">
              <w:t xml:space="preserve"> - </w:t>
            </w:r>
            <w:r w:rsidR="008C6378" w:rsidRPr="004E7B57">
              <w:t xml:space="preserve">Γ’ </w:t>
            </w:r>
          </w:p>
        </w:tc>
        <w:tc>
          <w:tcPr>
            <w:tcW w:w="3938" w:type="dxa"/>
            <w:shd w:val="clear" w:color="auto" w:fill="auto"/>
            <w:tcMar>
              <w:top w:w="100" w:type="dxa"/>
              <w:left w:w="100" w:type="dxa"/>
              <w:bottom w:w="100" w:type="dxa"/>
              <w:right w:w="100" w:type="dxa"/>
            </w:tcMar>
          </w:tcPr>
          <w:p w14:paraId="2E637CEF" w14:textId="20123CAD" w:rsidR="00BD187E" w:rsidRPr="004E7B57" w:rsidRDefault="00E8573B" w:rsidP="009B5ABA">
            <w:pPr>
              <w:spacing w:after="0" w:line="240" w:lineRule="auto"/>
            </w:pPr>
            <w:r w:rsidRPr="004E7B57">
              <w:t>Β</w:t>
            </w:r>
            <w:r w:rsidR="00923E5B" w:rsidRPr="004E7B57">
              <w:t>΄</w:t>
            </w:r>
            <w:r w:rsidRPr="004E7B57">
              <w:t xml:space="preserve"> </w:t>
            </w:r>
            <w:r w:rsidR="00BD187E" w:rsidRPr="004E7B57">
              <w:t xml:space="preserve">Ανταγωνιστική Διαδικασία </w:t>
            </w:r>
          </w:p>
        </w:tc>
        <w:tc>
          <w:tcPr>
            <w:tcW w:w="2835" w:type="dxa"/>
            <w:shd w:val="clear" w:color="auto" w:fill="auto"/>
            <w:tcMar>
              <w:top w:w="100" w:type="dxa"/>
              <w:left w:w="100" w:type="dxa"/>
              <w:bottom w:w="100" w:type="dxa"/>
              <w:right w:w="100" w:type="dxa"/>
            </w:tcMar>
          </w:tcPr>
          <w:p w14:paraId="39BCACC6" w14:textId="730C2401" w:rsidR="00BD187E" w:rsidRPr="004E7B57" w:rsidRDefault="00117824" w:rsidP="00407EE5">
            <w:pPr>
              <w:spacing w:after="0" w:line="240" w:lineRule="auto"/>
            </w:pPr>
            <w:r w:rsidRPr="004E7B57">
              <w:t>3</w:t>
            </w:r>
            <w:r w:rsidR="00BD187E" w:rsidRPr="004E7B57">
              <w:t>00</w:t>
            </w:r>
            <w:r w:rsidR="004831F7">
              <w:t xml:space="preserve"> ± τυχόν </w:t>
            </w:r>
            <w:r w:rsidR="00DC4255">
              <w:t>αδιάθετη</w:t>
            </w:r>
            <w:r w:rsidR="004831F7">
              <w:t xml:space="preserve"> / </w:t>
            </w:r>
            <w:r w:rsidR="00DC4255">
              <w:t>υπολειπόμενη</w:t>
            </w:r>
            <w:r w:rsidR="00407EE5" w:rsidRPr="00407EE5">
              <w:t xml:space="preserve"> </w:t>
            </w:r>
            <w:r w:rsidR="004831F7">
              <w:t>ισχύ από την</w:t>
            </w:r>
            <w:r w:rsidR="00407EE5" w:rsidRPr="00407EE5">
              <w:t xml:space="preserve"> </w:t>
            </w:r>
            <w:r w:rsidR="00407EE5">
              <w:t>προηγούμενη</w:t>
            </w:r>
            <w:r w:rsidR="004831F7">
              <w:t xml:space="preserve"> ανταγωνιστική</w:t>
            </w:r>
            <w:r w:rsidR="00407EE5" w:rsidRPr="00407EE5">
              <w:t xml:space="preserve"> </w:t>
            </w:r>
            <w:r w:rsidR="004831F7">
              <w:t>διαδικασία</w:t>
            </w:r>
          </w:p>
        </w:tc>
      </w:tr>
      <w:tr w:rsidR="00BD187E" w:rsidRPr="004E7B57" w14:paraId="640768BC" w14:textId="77777777" w:rsidTr="009B5ABA">
        <w:tc>
          <w:tcPr>
            <w:tcW w:w="2724" w:type="dxa"/>
            <w:shd w:val="clear" w:color="auto" w:fill="auto"/>
            <w:tcMar>
              <w:top w:w="100" w:type="dxa"/>
              <w:left w:w="100" w:type="dxa"/>
              <w:bottom w:w="100" w:type="dxa"/>
              <w:right w:w="100" w:type="dxa"/>
            </w:tcMar>
          </w:tcPr>
          <w:p w14:paraId="3C62E0C9" w14:textId="40DA05BC" w:rsidR="00BD187E" w:rsidRPr="004E7B57" w:rsidRDefault="00BD187E" w:rsidP="009B5ABA">
            <w:pPr>
              <w:spacing w:after="0" w:line="240" w:lineRule="auto"/>
            </w:pPr>
            <w:r w:rsidRPr="004E7B57">
              <w:t>202</w:t>
            </w:r>
            <w:r w:rsidR="00117824" w:rsidRPr="004E7B57">
              <w:t>3</w:t>
            </w:r>
            <w:r w:rsidRPr="004E7B57">
              <w:t xml:space="preserve"> - Δ’ </w:t>
            </w:r>
          </w:p>
        </w:tc>
        <w:tc>
          <w:tcPr>
            <w:tcW w:w="3938" w:type="dxa"/>
            <w:shd w:val="clear" w:color="auto" w:fill="auto"/>
            <w:tcMar>
              <w:top w:w="100" w:type="dxa"/>
              <w:left w:w="100" w:type="dxa"/>
              <w:bottom w:w="100" w:type="dxa"/>
              <w:right w:w="100" w:type="dxa"/>
            </w:tcMar>
          </w:tcPr>
          <w:p w14:paraId="38564228" w14:textId="0B8459F7" w:rsidR="00BD187E" w:rsidRPr="004E7B57" w:rsidRDefault="00E8573B" w:rsidP="009B5ABA">
            <w:pPr>
              <w:spacing w:after="0" w:line="240" w:lineRule="auto"/>
            </w:pPr>
            <w:r w:rsidRPr="004E7B57">
              <w:t>Γ</w:t>
            </w:r>
            <w:r w:rsidR="00923E5B" w:rsidRPr="004E7B57">
              <w:t>΄</w:t>
            </w:r>
            <w:r w:rsidRPr="004E7B57">
              <w:t xml:space="preserve"> </w:t>
            </w:r>
            <w:r w:rsidR="00BD187E" w:rsidRPr="004E7B57">
              <w:t xml:space="preserve">Ανταγωνιστική Διαδικασία </w:t>
            </w:r>
            <w:r w:rsidR="00A54397" w:rsidRPr="004E7B57">
              <w:t xml:space="preserve">(Περιοχές </w:t>
            </w:r>
            <w:r w:rsidR="00A63BAB">
              <w:t>Προγράμματος Δίκαιης Αναπτυξιακής Μετάβασης -</w:t>
            </w:r>
            <w:r w:rsidR="00A54397" w:rsidRPr="004E7B57">
              <w:t>Π.Δ.Α.Μ.)</w:t>
            </w:r>
          </w:p>
        </w:tc>
        <w:tc>
          <w:tcPr>
            <w:tcW w:w="2835" w:type="dxa"/>
            <w:shd w:val="clear" w:color="auto" w:fill="auto"/>
            <w:tcMar>
              <w:top w:w="100" w:type="dxa"/>
              <w:left w:w="100" w:type="dxa"/>
              <w:bottom w:w="100" w:type="dxa"/>
              <w:right w:w="100" w:type="dxa"/>
            </w:tcMar>
          </w:tcPr>
          <w:p w14:paraId="6034C8C7" w14:textId="2718139D" w:rsidR="00BD187E" w:rsidRPr="004E7B57" w:rsidRDefault="00117824" w:rsidP="004831F7">
            <w:pPr>
              <w:spacing w:after="0" w:line="240" w:lineRule="auto"/>
            </w:pPr>
            <w:r w:rsidRPr="004E7B57">
              <w:t>300</w:t>
            </w:r>
          </w:p>
        </w:tc>
      </w:tr>
      <w:tr w:rsidR="00BD187E" w:rsidRPr="004E7B57" w14:paraId="15DE985C" w14:textId="77777777" w:rsidTr="009B5ABA">
        <w:tc>
          <w:tcPr>
            <w:tcW w:w="2724" w:type="dxa"/>
            <w:shd w:val="clear" w:color="auto" w:fill="auto"/>
            <w:tcMar>
              <w:top w:w="100" w:type="dxa"/>
              <w:left w:w="100" w:type="dxa"/>
              <w:bottom w:w="100" w:type="dxa"/>
              <w:right w:w="100" w:type="dxa"/>
            </w:tcMar>
          </w:tcPr>
          <w:p w14:paraId="70E3AFE6" w14:textId="77777777" w:rsidR="00BD187E" w:rsidRPr="004E7B57" w:rsidRDefault="00BD187E" w:rsidP="009B5ABA">
            <w:pPr>
              <w:spacing w:after="0" w:line="240" w:lineRule="auto"/>
            </w:pPr>
          </w:p>
        </w:tc>
        <w:tc>
          <w:tcPr>
            <w:tcW w:w="3938" w:type="dxa"/>
            <w:shd w:val="clear" w:color="auto" w:fill="auto"/>
            <w:tcMar>
              <w:top w:w="100" w:type="dxa"/>
              <w:left w:w="100" w:type="dxa"/>
              <w:bottom w:w="100" w:type="dxa"/>
              <w:right w:w="100" w:type="dxa"/>
            </w:tcMar>
          </w:tcPr>
          <w:p w14:paraId="69E009C8" w14:textId="77777777" w:rsidR="00BD187E" w:rsidRPr="004E7B57" w:rsidRDefault="00BD187E" w:rsidP="009B5ABA">
            <w:pPr>
              <w:spacing w:after="0" w:line="240" w:lineRule="auto"/>
            </w:pPr>
            <w:r w:rsidRPr="004E7B57">
              <w:t xml:space="preserve">ΣΥΝΟΛΟ </w:t>
            </w:r>
          </w:p>
        </w:tc>
        <w:tc>
          <w:tcPr>
            <w:tcW w:w="2835" w:type="dxa"/>
            <w:shd w:val="clear" w:color="auto" w:fill="auto"/>
            <w:tcMar>
              <w:top w:w="100" w:type="dxa"/>
              <w:left w:w="100" w:type="dxa"/>
              <w:bottom w:w="100" w:type="dxa"/>
              <w:right w:w="100" w:type="dxa"/>
            </w:tcMar>
          </w:tcPr>
          <w:p w14:paraId="52E427FB" w14:textId="2A29BD7E" w:rsidR="00BD187E" w:rsidRPr="004E7B57" w:rsidRDefault="00117824" w:rsidP="009B5ABA">
            <w:pPr>
              <w:spacing w:after="0" w:line="240" w:lineRule="auto"/>
            </w:pPr>
            <w:r w:rsidRPr="004E7B57">
              <w:t>1.0</w:t>
            </w:r>
            <w:r w:rsidR="00BD187E" w:rsidRPr="004E7B57">
              <w:t>00</w:t>
            </w:r>
          </w:p>
        </w:tc>
      </w:tr>
    </w:tbl>
    <w:p w14:paraId="44F1CFD4" w14:textId="77777777" w:rsidR="00A63BAB" w:rsidRDefault="00A63BAB" w:rsidP="00E76414">
      <w:pPr>
        <w:pStyle w:val="a4"/>
        <w:rPr>
          <w:b/>
          <w:bCs/>
        </w:rPr>
      </w:pPr>
    </w:p>
    <w:p w14:paraId="0AFFDB06" w14:textId="2544BDCB" w:rsidR="008C6378" w:rsidRPr="004E7B57" w:rsidRDefault="00BD187E" w:rsidP="00E76414">
      <w:pPr>
        <w:pStyle w:val="a4"/>
      </w:pPr>
      <w:r w:rsidRPr="004E7B57">
        <w:rPr>
          <w:b/>
          <w:bCs/>
        </w:rPr>
        <w:lastRenderedPageBreak/>
        <w:t xml:space="preserve">(β) </w:t>
      </w:r>
      <w:r w:rsidRPr="004E7B57">
        <w:t xml:space="preserve">Η δημοπρατούμενη ισχύς </w:t>
      </w:r>
      <w:r w:rsidR="00E8573B" w:rsidRPr="004E7B57">
        <w:t>των Α</w:t>
      </w:r>
      <w:r w:rsidR="00923E5B" w:rsidRPr="004E7B57">
        <w:t>΄</w:t>
      </w:r>
      <w:r w:rsidR="00E8573B" w:rsidRPr="004E7B57">
        <w:t xml:space="preserve"> και Β</w:t>
      </w:r>
      <w:r w:rsidR="00923E5B" w:rsidRPr="004E7B57">
        <w:t>΄</w:t>
      </w:r>
      <w:r w:rsidRPr="004E7B57">
        <w:t xml:space="preserve"> Ανταγωνιστικών Διαδικασιών κατανέμεται στο σύνολο του Ε</w:t>
      </w:r>
      <w:r w:rsidR="0057118D" w:rsidRPr="004E7B57">
        <w:t>.</w:t>
      </w:r>
      <w:r w:rsidRPr="004E7B57">
        <w:t>Σ</w:t>
      </w:r>
      <w:r w:rsidR="0057118D" w:rsidRPr="004E7B57">
        <w:t>.</w:t>
      </w:r>
      <w:r w:rsidRPr="004E7B57">
        <w:t>Μ</w:t>
      </w:r>
      <w:r w:rsidR="0057118D" w:rsidRPr="004E7B57">
        <w:t>.</w:t>
      </w:r>
      <w:r w:rsidRPr="004E7B57">
        <w:t>Η</w:t>
      </w:r>
      <w:r w:rsidR="0057118D" w:rsidRPr="004E7B57">
        <w:t>.</w:t>
      </w:r>
      <w:r w:rsidRPr="004E7B57">
        <w:t>Ε</w:t>
      </w:r>
      <w:r w:rsidR="0057118D" w:rsidRPr="004E7B57">
        <w:t>., πλην Κρήτης</w:t>
      </w:r>
      <w:r w:rsidRPr="004E7B57">
        <w:t xml:space="preserve">. Η </w:t>
      </w:r>
      <w:r w:rsidR="00E8573B" w:rsidRPr="004E7B57">
        <w:t>Γ</w:t>
      </w:r>
      <w:r w:rsidR="00923E5B" w:rsidRPr="004E7B57">
        <w:t>΄</w:t>
      </w:r>
      <w:r w:rsidR="00F2748D" w:rsidRPr="004E7B57">
        <w:t xml:space="preserve"> </w:t>
      </w:r>
      <w:r w:rsidRPr="004E7B57">
        <w:t xml:space="preserve">Ανταγωνιστική Διαδικασία αφορά ειδικώς τις </w:t>
      </w:r>
      <w:r w:rsidR="0057118D" w:rsidRPr="004E7B57">
        <w:t>Περιοχές Π.Δ.Α.Μ.</w:t>
      </w:r>
    </w:p>
    <w:p w14:paraId="6F67DBAF" w14:textId="1DC0CE34" w:rsidR="004A1336" w:rsidRPr="004E7B57" w:rsidRDefault="004A1336" w:rsidP="00E76414">
      <w:pPr>
        <w:pStyle w:val="a4"/>
      </w:pPr>
      <w:r w:rsidRPr="004E7B57">
        <w:rPr>
          <w:b/>
          <w:bCs/>
        </w:rPr>
        <w:t>(</w:t>
      </w:r>
      <w:r w:rsidR="007F284A">
        <w:rPr>
          <w:b/>
          <w:bCs/>
        </w:rPr>
        <w:t>γ</w:t>
      </w:r>
      <w:r w:rsidRPr="004E7B57">
        <w:rPr>
          <w:b/>
          <w:bCs/>
        </w:rPr>
        <w:t xml:space="preserve">) </w:t>
      </w:r>
      <w:r w:rsidRPr="004E7B57">
        <w:t xml:space="preserve"> Κατ’ εφαρμογή του άρθρου 16 της Υπουργικής Απόφασης, στην Ανταγωνιστική Διαδικασία δύναται να συμμετέχουν Σ.Α.Η.Ε. που εγκαθίστανται στη Βουλγαρία. Η συνολική μέγιστη ισχύς έγχυσης Σ.Α.Η.Ε. που μπορεί να κατακυρωθεί σε Σ.Α.Η.Ε. του προηγούμενου εδαφίου για το σύνολο των Ανταγωνιστικών Διαδικασιών </w:t>
      </w:r>
      <w:r w:rsidR="006C3240" w:rsidRPr="004E7B57">
        <w:rPr>
          <w:lang w:val="en-US"/>
        </w:rPr>
        <w:t>A</w:t>
      </w:r>
      <w:r w:rsidR="006C3240" w:rsidRPr="004E7B57">
        <w:t xml:space="preserve">’ και Β’ </w:t>
      </w:r>
      <w:r w:rsidRPr="004E7B57">
        <w:t xml:space="preserve">του Πίνακα 1 ανέρχεται σε 31 </w:t>
      </w:r>
      <w:r w:rsidRPr="004E7B57">
        <w:rPr>
          <w:lang w:val="en-US"/>
        </w:rPr>
        <w:t>MW</w:t>
      </w:r>
      <w:r w:rsidRPr="004E7B57">
        <w:t xml:space="preserve">. </w:t>
      </w:r>
    </w:p>
    <w:p w14:paraId="5B536224" w14:textId="5894A2EA" w:rsidR="000546D5" w:rsidRPr="004E7B57" w:rsidRDefault="00FD4930" w:rsidP="00E76414">
      <w:r w:rsidRPr="004E7B57">
        <w:rPr>
          <w:b/>
          <w:bCs/>
        </w:rPr>
        <w:t>1.</w:t>
      </w:r>
      <w:r w:rsidR="00DF7D93">
        <w:rPr>
          <w:b/>
          <w:bCs/>
        </w:rPr>
        <w:t>4</w:t>
      </w:r>
      <w:r w:rsidRPr="004E7B57">
        <w:rPr>
          <w:b/>
          <w:bCs/>
        </w:rPr>
        <w:t xml:space="preserve">. </w:t>
      </w:r>
      <w:r w:rsidR="00856EDC" w:rsidRPr="004E7B57">
        <w:t xml:space="preserve">Στο πλαίσιο των διατάξεων του Νόμου και ειδικότερα βάσει της παρ. </w:t>
      </w:r>
      <w:r w:rsidR="00987568" w:rsidRPr="004E7B57">
        <w:t>4</w:t>
      </w:r>
      <w:r w:rsidR="00856EDC" w:rsidRPr="004E7B57">
        <w:t xml:space="preserve"> του άρθρου </w:t>
      </w:r>
      <w:r w:rsidR="00987568" w:rsidRPr="004E7B57">
        <w:t>143ΣΤ</w:t>
      </w:r>
      <w:r w:rsidR="00F2748D" w:rsidRPr="004E7B57">
        <w:t xml:space="preserve"> </w:t>
      </w:r>
      <w:r w:rsidR="00856EDC" w:rsidRPr="004E7B57">
        <w:t xml:space="preserve">του Νόμου, καθώς και </w:t>
      </w:r>
      <w:r w:rsidR="009E4DA1" w:rsidRPr="004E7B57">
        <w:t>της Υπουργικής Απόφασης</w:t>
      </w:r>
      <w:r w:rsidR="00B0141B" w:rsidRPr="004E7B57">
        <w:t xml:space="preserve">, </w:t>
      </w:r>
      <w:r w:rsidR="00856EDC" w:rsidRPr="004E7B57">
        <w:t xml:space="preserve">η Ρυθμιστική Αρχή </w:t>
      </w:r>
      <w:r w:rsidR="00824C17" w:rsidRPr="004E7B57">
        <w:t xml:space="preserve">Αποβλήτων </w:t>
      </w:r>
      <w:r w:rsidR="00856EDC" w:rsidRPr="004E7B57">
        <w:t xml:space="preserve">Ενέργειας </w:t>
      </w:r>
      <w:r w:rsidR="00824C17" w:rsidRPr="004E7B57">
        <w:t xml:space="preserve">και Υδάτων </w:t>
      </w:r>
      <w:r w:rsidR="00856EDC" w:rsidRPr="004E7B57">
        <w:t>(εφεξής «</w:t>
      </w:r>
      <w:r w:rsidR="00CF21E9" w:rsidRPr="004E7B57">
        <w:t>Ρ.Α.Α.Ε.Υ.</w:t>
      </w:r>
      <w:r w:rsidR="00856EDC" w:rsidRPr="004E7B57">
        <w:t>»)</w:t>
      </w:r>
      <w:r w:rsidR="00A63BAB">
        <w:t>, όπως μετονομάστηκε</w:t>
      </w:r>
      <w:r w:rsidR="00856EDC" w:rsidRPr="004E7B57">
        <w:t xml:space="preserve"> </w:t>
      </w:r>
      <w:r w:rsidR="00A63BAB">
        <w:t>η Ρυθμιστική Αρχή Ενέργειας δυνάμει του άρθρου 6 του ν. 5037/2023 (ΦΕΚ Α’ 78/2023)</w:t>
      </w:r>
      <w:r w:rsidR="00A825C5">
        <w:t xml:space="preserve"> και του άρθρου 121 του ν. 5043/2023 (ΦΕΚ Α’ 91/13.04.2023)</w:t>
      </w:r>
      <w:r w:rsidR="00A63BAB">
        <w:t xml:space="preserve">, </w:t>
      </w:r>
      <w:r w:rsidR="00856EDC" w:rsidRPr="004E7B57">
        <w:t xml:space="preserve">προκηρύσσει, με την παρούσα Προκήρυξη, </w:t>
      </w:r>
      <w:r w:rsidR="00582616" w:rsidRPr="004E7B57">
        <w:t xml:space="preserve">την </w:t>
      </w:r>
      <w:r w:rsidR="00023CBC" w:rsidRPr="004E7B57">
        <w:t>Πρώτη (Α</w:t>
      </w:r>
      <w:r w:rsidR="00923E5B" w:rsidRPr="004E7B57">
        <w:t>΄</w:t>
      </w:r>
      <w:r w:rsidR="00023CBC" w:rsidRPr="004E7B57">
        <w:t>)</w:t>
      </w:r>
      <w:r w:rsidR="009E4DA1" w:rsidRPr="004E7B57">
        <w:t xml:space="preserve"> </w:t>
      </w:r>
      <w:r w:rsidR="00856EDC" w:rsidRPr="004E7B57">
        <w:t>Ανταγωνιστική Διαδικασία υποβολής προσφορών (εφεξής η «Ανταγωνιστική Διαδικασία»</w:t>
      </w:r>
      <w:r w:rsidR="00987568" w:rsidRPr="004E7B57">
        <w:t xml:space="preserve">) </w:t>
      </w:r>
      <w:r w:rsidR="00B0141B" w:rsidRPr="004E7B57">
        <w:t xml:space="preserve">για τη χορήγηση </w:t>
      </w:r>
      <w:r w:rsidR="00C11F23" w:rsidRPr="004E7B57">
        <w:t xml:space="preserve">επενδυτικής και </w:t>
      </w:r>
      <w:r w:rsidR="00B0141B" w:rsidRPr="004E7B57">
        <w:t>λειτουργικής ενίσχυσης σε σταθμούς αποθήκευσης ηλεκτρικής ενέργειας</w:t>
      </w:r>
      <w:r w:rsidR="00380FB1">
        <w:t xml:space="preserve"> (εφεξής «Σ.Α.Η.Ε.»)</w:t>
      </w:r>
      <w:r w:rsidR="00B0141B" w:rsidRPr="004E7B57">
        <w:t xml:space="preserve">, </w:t>
      </w:r>
      <w:r w:rsidR="00856EDC" w:rsidRPr="004E7B57">
        <w:t>σύμφωνα με τους όρους, προϋποθέσεις, διαδικασίες και προθεσμίες της παρούσας.</w:t>
      </w:r>
    </w:p>
    <w:p w14:paraId="51E3953A" w14:textId="77777777" w:rsidR="00222A52" w:rsidRPr="004E7B57" w:rsidRDefault="00222A52" w:rsidP="00E76414">
      <w:pPr>
        <w:pStyle w:val="4"/>
      </w:pPr>
    </w:p>
    <w:p w14:paraId="091E324E" w14:textId="3D611EB3" w:rsidR="000546D5" w:rsidRPr="00733B6B" w:rsidRDefault="00856EDC" w:rsidP="00733B6B">
      <w:pPr>
        <w:jc w:val="center"/>
        <w:rPr>
          <w:b/>
          <w:bCs/>
        </w:rPr>
      </w:pPr>
      <w:r w:rsidRPr="00733B6B">
        <w:rPr>
          <w:b/>
          <w:bCs/>
        </w:rPr>
        <w:t>Άρθρο 2</w:t>
      </w:r>
    </w:p>
    <w:p w14:paraId="667C83EB" w14:textId="0E824CC7" w:rsidR="000546D5" w:rsidRPr="00733B6B" w:rsidRDefault="00856EDC" w:rsidP="00733B6B">
      <w:pPr>
        <w:jc w:val="center"/>
        <w:rPr>
          <w:b/>
          <w:bCs/>
        </w:rPr>
      </w:pPr>
      <w:r w:rsidRPr="00733B6B">
        <w:rPr>
          <w:b/>
          <w:bCs/>
        </w:rPr>
        <w:t xml:space="preserve">Αρχή Διενέργειας Ανταγωνιστικής Διαδικασίας – </w:t>
      </w:r>
      <w:r w:rsidR="00353AF7" w:rsidRPr="00733B6B">
        <w:rPr>
          <w:b/>
          <w:bCs/>
        </w:rPr>
        <w:t xml:space="preserve">Δημοσίευση Προκήρυξης - </w:t>
      </w:r>
      <w:r w:rsidRPr="00733B6B">
        <w:rPr>
          <w:b/>
          <w:bCs/>
        </w:rPr>
        <w:t>Παροχή Διευκρινίσεων</w:t>
      </w:r>
      <w:r w:rsidR="003907F0">
        <w:rPr>
          <w:b/>
          <w:bCs/>
        </w:rPr>
        <w:t xml:space="preserve"> - Προστασία Προσωπικών Δεδομένων - Κανόνες ενισχύσεων</w:t>
      </w:r>
    </w:p>
    <w:p w14:paraId="4A93B421" w14:textId="77777777" w:rsidR="003E30BB" w:rsidRPr="004E7B57" w:rsidRDefault="003E30BB" w:rsidP="00E76414"/>
    <w:p w14:paraId="51DDC74E" w14:textId="014C9031" w:rsidR="000546D5" w:rsidRPr="004E7B57" w:rsidRDefault="005C79E5" w:rsidP="00E76414">
      <w:r w:rsidRPr="00380FB1">
        <w:rPr>
          <w:b/>
        </w:rPr>
        <w:t>2.1.</w:t>
      </w:r>
      <w:r w:rsidRPr="004E7B57">
        <w:rPr>
          <w:bCs/>
        </w:rPr>
        <w:t xml:space="preserve"> </w:t>
      </w:r>
      <w:r w:rsidR="00856EDC" w:rsidRPr="004E7B57">
        <w:t xml:space="preserve">Αρχή διενέργειας της Ανταγωνιστικής Διαδικασίας είναι η Ρυθμιστική Αρχή </w:t>
      </w:r>
      <w:r w:rsidR="00824C17" w:rsidRPr="004E7B57">
        <w:t>Αποβλήτων</w:t>
      </w:r>
      <w:r w:rsidR="00380FB1">
        <w:t>,</w:t>
      </w:r>
      <w:r w:rsidR="00824C17" w:rsidRPr="004E7B57">
        <w:t xml:space="preserve"> </w:t>
      </w:r>
      <w:r w:rsidR="00856EDC" w:rsidRPr="004E7B57">
        <w:t xml:space="preserve">Ενέργειας </w:t>
      </w:r>
      <w:r w:rsidR="00824C17" w:rsidRPr="004E7B57">
        <w:t xml:space="preserve">και Υδάτων </w:t>
      </w:r>
      <w:r w:rsidR="00856EDC" w:rsidRPr="004E7B57">
        <w:t>(</w:t>
      </w:r>
      <w:r w:rsidR="00CF21E9" w:rsidRPr="004E7B57">
        <w:t>Ρ.Α.Α.Ε.Υ.</w:t>
      </w:r>
      <w:r w:rsidR="00856EDC" w:rsidRPr="004E7B57">
        <w:t>):</w:t>
      </w:r>
    </w:p>
    <w:p w14:paraId="4433DB9E" w14:textId="77777777" w:rsidR="000546D5" w:rsidRPr="00A825C5" w:rsidRDefault="00856EDC" w:rsidP="00E76414">
      <w:pPr>
        <w:pStyle w:val="a3"/>
        <w:rPr>
          <w:sz w:val="22"/>
          <w:szCs w:val="22"/>
        </w:rPr>
      </w:pPr>
      <w:r w:rsidRPr="00A825C5">
        <w:rPr>
          <w:sz w:val="22"/>
          <w:szCs w:val="22"/>
        </w:rPr>
        <w:t>Διεύθυνση:</w:t>
      </w:r>
      <w:r w:rsidRPr="00A825C5">
        <w:rPr>
          <w:sz w:val="22"/>
          <w:szCs w:val="22"/>
        </w:rPr>
        <w:tab/>
        <w:t>Πειραιώς 132, Τ.Κ. 11854, Αθήνα</w:t>
      </w:r>
    </w:p>
    <w:p w14:paraId="147D25E7" w14:textId="77777777" w:rsidR="000546D5" w:rsidRPr="00A825C5" w:rsidRDefault="00856EDC" w:rsidP="00E76414">
      <w:pPr>
        <w:pStyle w:val="a3"/>
        <w:rPr>
          <w:sz w:val="22"/>
          <w:szCs w:val="22"/>
        </w:rPr>
      </w:pPr>
      <w:proofErr w:type="spellStart"/>
      <w:r w:rsidRPr="00A825C5">
        <w:rPr>
          <w:sz w:val="22"/>
          <w:szCs w:val="22"/>
        </w:rPr>
        <w:t>Τηλ</w:t>
      </w:r>
      <w:proofErr w:type="spellEnd"/>
      <w:r w:rsidRPr="00A825C5">
        <w:rPr>
          <w:sz w:val="22"/>
          <w:szCs w:val="22"/>
        </w:rPr>
        <w:t>.:</w:t>
      </w:r>
      <w:r w:rsidRPr="00A825C5">
        <w:rPr>
          <w:sz w:val="22"/>
          <w:szCs w:val="22"/>
        </w:rPr>
        <w:tab/>
        <w:t>210 3727400</w:t>
      </w:r>
    </w:p>
    <w:p w14:paraId="2023B8CE" w14:textId="748E9976" w:rsidR="000546D5" w:rsidRPr="00A825C5" w:rsidRDefault="00856EDC" w:rsidP="00E76414">
      <w:pPr>
        <w:pStyle w:val="a3"/>
        <w:rPr>
          <w:sz w:val="22"/>
          <w:szCs w:val="22"/>
        </w:rPr>
      </w:pPr>
      <w:r w:rsidRPr="00A825C5">
        <w:rPr>
          <w:sz w:val="22"/>
          <w:szCs w:val="22"/>
        </w:rPr>
        <w:t>Ε-</w:t>
      </w:r>
      <w:proofErr w:type="spellStart"/>
      <w:r w:rsidRPr="00A825C5">
        <w:rPr>
          <w:sz w:val="22"/>
          <w:szCs w:val="22"/>
        </w:rPr>
        <w:t>mail</w:t>
      </w:r>
      <w:proofErr w:type="spellEnd"/>
      <w:r w:rsidRPr="00A825C5">
        <w:rPr>
          <w:sz w:val="22"/>
          <w:szCs w:val="22"/>
        </w:rPr>
        <w:t>:</w:t>
      </w:r>
      <w:r w:rsidRPr="00A825C5">
        <w:rPr>
          <w:sz w:val="22"/>
          <w:szCs w:val="22"/>
        </w:rPr>
        <w:tab/>
      </w:r>
      <w:proofErr w:type="spellStart"/>
      <w:r w:rsidR="004979B5" w:rsidRPr="00A825C5">
        <w:rPr>
          <w:sz w:val="22"/>
          <w:szCs w:val="22"/>
          <w:lang w:val="en-US"/>
        </w:rPr>
        <w:t>tender</w:t>
      </w:r>
      <w:r w:rsidR="009976D0">
        <w:rPr>
          <w:sz w:val="22"/>
          <w:szCs w:val="22"/>
          <w:lang w:val="en-US"/>
        </w:rPr>
        <w:t>res</w:t>
      </w:r>
      <w:proofErr w:type="spellEnd"/>
      <w:r w:rsidR="00C72D5D">
        <w:fldChar w:fldCharType="begin"/>
      </w:r>
      <w:r w:rsidR="00C72D5D">
        <w:instrText>HYPERLINK "mailto:astypalaia@rae.gr" \h</w:instrText>
      </w:r>
      <w:r w:rsidR="00C72D5D">
        <w:fldChar w:fldCharType="separate"/>
      </w:r>
      <w:r w:rsidR="004979B5" w:rsidRPr="00A825C5">
        <w:rPr>
          <w:sz w:val="22"/>
          <w:szCs w:val="22"/>
        </w:rPr>
        <w:t>@rae.gr</w:t>
      </w:r>
      <w:r w:rsidR="00C72D5D">
        <w:rPr>
          <w:sz w:val="22"/>
          <w:szCs w:val="22"/>
        </w:rPr>
        <w:fldChar w:fldCharType="end"/>
      </w:r>
    </w:p>
    <w:p w14:paraId="15757EEB" w14:textId="3D32ED34" w:rsidR="000546D5" w:rsidRDefault="00856EDC" w:rsidP="00E76414">
      <w:pPr>
        <w:pStyle w:val="a3"/>
        <w:rPr>
          <w:sz w:val="22"/>
          <w:szCs w:val="22"/>
        </w:rPr>
      </w:pPr>
      <w:r w:rsidRPr="00A825C5">
        <w:rPr>
          <w:sz w:val="22"/>
          <w:szCs w:val="22"/>
        </w:rPr>
        <w:t xml:space="preserve">Θέμα επικοινωνίας με τη </w:t>
      </w:r>
      <w:r w:rsidR="00CF21E9" w:rsidRPr="00A825C5">
        <w:rPr>
          <w:sz w:val="22"/>
          <w:szCs w:val="22"/>
        </w:rPr>
        <w:t>Ρ.Α.Α.Ε.Υ.</w:t>
      </w:r>
      <w:r w:rsidRPr="00A825C5">
        <w:rPr>
          <w:sz w:val="22"/>
          <w:szCs w:val="22"/>
        </w:rPr>
        <w:t>:</w:t>
      </w:r>
      <w:r w:rsidRPr="00A825C5">
        <w:rPr>
          <w:sz w:val="22"/>
          <w:szCs w:val="22"/>
        </w:rPr>
        <w:tab/>
        <w:t>[</w:t>
      </w:r>
      <w:r w:rsidR="00502AC2" w:rsidRPr="00A825C5">
        <w:rPr>
          <w:sz w:val="22"/>
          <w:szCs w:val="22"/>
        </w:rPr>
        <w:t xml:space="preserve">Προκήρυξη </w:t>
      </w:r>
      <w:r w:rsidR="00380FB1" w:rsidRPr="00A825C5">
        <w:rPr>
          <w:sz w:val="22"/>
          <w:szCs w:val="22"/>
        </w:rPr>
        <w:t xml:space="preserve">Ρ.Α.Α.Ε.Υ </w:t>
      </w:r>
      <w:r w:rsidR="00A63BAB" w:rsidRPr="00A825C5">
        <w:rPr>
          <w:sz w:val="22"/>
          <w:szCs w:val="22"/>
        </w:rPr>
        <w:t>1</w:t>
      </w:r>
      <w:r w:rsidRPr="00A825C5">
        <w:rPr>
          <w:sz w:val="22"/>
          <w:szCs w:val="22"/>
        </w:rPr>
        <w:t>/202</w:t>
      </w:r>
      <w:r w:rsidR="00502AC2" w:rsidRPr="00A825C5">
        <w:rPr>
          <w:sz w:val="22"/>
          <w:szCs w:val="22"/>
        </w:rPr>
        <w:t>3</w:t>
      </w:r>
      <w:r w:rsidRPr="00A825C5">
        <w:rPr>
          <w:sz w:val="22"/>
          <w:szCs w:val="22"/>
        </w:rPr>
        <w:t>]</w:t>
      </w:r>
    </w:p>
    <w:p w14:paraId="35D5D59F" w14:textId="64760501" w:rsidR="000546D5" w:rsidRDefault="00856EDC" w:rsidP="00093A83">
      <w:pPr>
        <w:pStyle w:val="a4"/>
        <w:numPr>
          <w:ilvl w:val="1"/>
          <w:numId w:val="2"/>
        </w:numPr>
        <w:tabs>
          <w:tab w:val="clear" w:pos="1189"/>
          <w:tab w:val="left" w:pos="567"/>
        </w:tabs>
        <w:ind w:left="0" w:firstLine="0"/>
      </w:pPr>
      <w:r w:rsidRPr="004E7B57">
        <w:t xml:space="preserve">Το τεύχος της Προκήρυξης με τα Παραρτήματα αυτής είναι διαθέσιμα στην </w:t>
      </w:r>
      <w:r w:rsidR="005C48E4" w:rsidRPr="004E7B57">
        <w:t>ιστοσελίδα της</w:t>
      </w:r>
      <w:r w:rsidRPr="004E7B57">
        <w:t xml:space="preserve"> </w:t>
      </w:r>
      <w:r w:rsidR="00CF21E9" w:rsidRPr="004E7B57">
        <w:t>Ρ.Α.Α.Ε.Υ.</w:t>
      </w:r>
      <w:r w:rsidRPr="004E7B57">
        <w:t xml:space="preserve"> (</w:t>
      </w:r>
      <w:hyperlink r:id="rId10" w:history="1">
        <w:r w:rsidR="00B31878" w:rsidRPr="004E7B57">
          <w:rPr>
            <w:rStyle w:val="-"/>
          </w:rPr>
          <w:t>http://www.rae.gr</w:t>
        </w:r>
      </w:hyperlink>
      <w:r w:rsidR="00B31878" w:rsidRPr="004E7B57">
        <w:t xml:space="preserve">) </w:t>
      </w:r>
      <w:r w:rsidRPr="004E7B57">
        <w:t>σε ηλεκτρονική μορφή.</w:t>
      </w:r>
    </w:p>
    <w:p w14:paraId="6770F6EC" w14:textId="5D2D6076" w:rsidR="000546D5" w:rsidRDefault="005C79E5" w:rsidP="00E76414">
      <w:r w:rsidRPr="004E7B57">
        <w:rPr>
          <w:b/>
          <w:bCs/>
        </w:rPr>
        <w:t xml:space="preserve">2.3. </w:t>
      </w:r>
      <w:r w:rsidR="00856EDC" w:rsidRPr="004E7B57">
        <w:t xml:space="preserve">Οι Ενδιαφερόμενοι και οι Συμμετέχοντες δύνανται να λαμβάνουν συμπληρωματικές πληροφορίες ή διευκρινίσεις σχετικά με την παρούσα Προκήρυξη, υποβάλλοντας εγγράφως στη </w:t>
      </w:r>
      <w:r w:rsidR="00CF21E9" w:rsidRPr="004E7B57">
        <w:t>Ρ.Α.Α.Ε.Υ.</w:t>
      </w:r>
      <w:r w:rsidR="00856EDC" w:rsidRPr="004E7B57">
        <w:t xml:space="preserve"> ερωτήσεις αποκλειστικά µέσω ηλεκτρονικού ταχυδρομείου στη διεύθυνση e-</w:t>
      </w:r>
      <w:proofErr w:type="spellStart"/>
      <w:r w:rsidR="00856EDC" w:rsidRPr="004E7B57">
        <w:t>mail</w:t>
      </w:r>
      <w:proofErr w:type="spellEnd"/>
      <w:r w:rsidR="00856EDC" w:rsidRPr="004E7B57">
        <w:rPr>
          <w:color w:val="0000FF"/>
        </w:rPr>
        <w:t xml:space="preserve"> </w:t>
      </w:r>
      <w:hyperlink r:id="rId11" w:history="1">
        <w:r w:rsidR="00C827E0" w:rsidRPr="00186865">
          <w:rPr>
            <w:rStyle w:val="-"/>
            <w:b/>
            <w:lang w:val="en-US"/>
          </w:rPr>
          <w:t>tenderres</w:t>
        </w:r>
        <w:r w:rsidR="00C827E0" w:rsidRPr="00186865">
          <w:rPr>
            <w:rStyle w:val="-"/>
            <w:b/>
          </w:rPr>
          <w:t>@</w:t>
        </w:r>
        <w:r w:rsidR="00C827E0" w:rsidRPr="00186865">
          <w:rPr>
            <w:rStyle w:val="-"/>
            <w:b/>
            <w:lang w:val="en-US"/>
          </w:rPr>
          <w:t>rae</w:t>
        </w:r>
        <w:r w:rsidR="00C827E0" w:rsidRPr="00186865">
          <w:rPr>
            <w:rStyle w:val="-"/>
            <w:b/>
          </w:rPr>
          <w:t>.</w:t>
        </w:r>
        <w:r w:rsidR="00C827E0" w:rsidRPr="00186865">
          <w:rPr>
            <w:rStyle w:val="-"/>
            <w:b/>
            <w:lang w:val="en-US"/>
          </w:rPr>
          <w:t>gr</w:t>
        </w:r>
      </w:hyperlink>
      <w:r w:rsidR="00C827E0" w:rsidRPr="00C827E0">
        <w:rPr>
          <w:b/>
          <w:color w:val="0000FF"/>
          <w:u w:val="single" w:color="0000FF"/>
        </w:rPr>
        <w:t xml:space="preserve"> </w:t>
      </w:r>
      <w:r w:rsidR="00856EDC" w:rsidRPr="004E7B57">
        <w:t xml:space="preserve">αυστηρά με τίτλο θέματος </w:t>
      </w:r>
      <w:r w:rsidR="004979B5">
        <w:rPr>
          <w:b/>
        </w:rPr>
        <w:t xml:space="preserve">[Προκήρυξη </w:t>
      </w:r>
      <w:r w:rsidR="0091350F" w:rsidRPr="003F0DAE">
        <w:rPr>
          <w:b/>
          <w:bCs/>
        </w:rPr>
        <w:t>Ρ.Α.Α.Ε.Υ.</w:t>
      </w:r>
      <w:r w:rsidR="0091350F" w:rsidRPr="004E7B57">
        <w:t xml:space="preserve"> </w:t>
      </w:r>
      <w:r w:rsidR="00A63BAB">
        <w:rPr>
          <w:b/>
        </w:rPr>
        <w:t>1</w:t>
      </w:r>
      <w:r w:rsidR="00A63BAB" w:rsidRPr="004E7B57">
        <w:rPr>
          <w:b/>
        </w:rPr>
        <w:t>/</w:t>
      </w:r>
      <w:r w:rsidR="00856EDC" w:rsidRPr="004E7B57">
        <w:rPr>
          <w:b/>
        </w:rPr>
        <w:t>202</w:t>
      </w:r>
      <w:r w:rsidR="000D3FD2" w:rsidRPr="004E7B57">
        <w:rPr>
          <w:b/>
        </w:rPr>
        <w:t>3</w:t>
      </w:r>
      <w:r w:rsidR="00856EDC" w:rsidRPr="004E7B57">
        <w:rPr>
          <w:b/>
        </w:rPr>
        <w:t xml:space="preserve">] </w:t>
      </w:r>
      <w:r w:rsidR="00856EDC" w:rsidRPr="004E7B57">
        <w:t xml:space="preserve">και έως δέκα (10) εργάσιμες ημέρες πριν από την καταληκτική ημερομηνία υποβολής Αιτήσεων Συμμετοχής, δηλώνοντας τα πλήρη στοιχεία επικοινωνίας τους, δηλαδή (α) στοιχεία υπευθύνου επικοινωνίας, (β) αριθμό τηλεφώνου, (γ) διεύθυνση ηλεκτρονικού ταχυδρομείου, (δ) ταχυδρομική διεύθυνση. Οι Ενδιαφερόμενοι και οι Συμμετέχοντες δεν δικαιούνται να επικαλούνται προφορικές απαντήσεις - διευκρινίσεις της </w:t>
      </w:r>
      <w:r w:rsidR="00CF21E9" w:rsidRPr="004E7B57">
        <w:t>Ρ.Α.Α.Ε.Υ.</w:t>
      </w:r>
      <w:r w:rsidR="00856EDC" w:rsidRPr="004E7B57">
        <w:t xml:space="preserve"> Η </w:t>
      </w:r>
      <w:r w:rsidR="00CF21E9" w:rsidRPr="004E7B57">
        <w:t>Ρ.Α.Α.Ε.Υ.</w:t>
      </w:r>
      <w:r w:rsidR="00856EDC" w:rsidRPr="004E7B57">
        <w:t xml:space="preserve"> δύναται να αναρτά τυχόν διευκρινιστικές ανακοινώσεις σχετικά με την Προκήρυξη και την Ανταγωνιστική Διαδικασία στην ιστοσελίδα της.</w:t>
      </w:r>
    </w:p>
    <w:p w14:paraId="73BDA47B" w14:textId="5DD68616" w:rsidR="000546D5" w:rsidRDefault="005C79E5" w:rsidP="00E76414">
      <w:r w:rsidRPr="004E7B57">
        <w:rPr>
          <w:b/>
          <w:bCs/>
        </w:rPr>
        <w:t xml:space="preserve">2.4. </w:t>
      </w:r>
      <w:r w:rsidR="00856EDC" w:rsidRPr="004E7B57">
        <w:t>Ειδικά για ερωτήματα και διευκρινίσεις που αφορούν τεχνικά θέματα αρμοδιότητας τ</w:t>
      </w:r>
      <w:r w:rsidR="000D3FD2" w:rsidRPr="004E7B57">
        <w:t>ου Διαχειριστή του Ελληνικού Συστή</w:t>
      </w:r>
      <w:r w:rsidR="0044340A" w:rsidRPr="004E7B57">
        <w:t xml:space="preserve">ματος Μεταφοράς Ηλεκτρικής Ενέργειας (ΑΔΜΗΕ) και </w:t>
      </w:r>
      <w:r w:rsidR="007735FB" w:rsidRPr="004E7B57">
        <w:t xml:space="preserve">θέματα αρμοδιότητας </w:t>
      </w:r>
      <w:r w:rsidR="0044340A" w:rsidRPr="004E7B57">
        <w:t xml:space="preserve">του Διαχειριστή Α.Π.Ε. και Εγγυήσεων Προέλευσης (ΔΑΠΕΕΠ), </w:t>
      </w:r>
      <w:r w:rsidR="00856EDC" w:rsidRPr="004E7B57">
        <w:t xml:space="preserve">η </w:t>
      </w:r>
      <w:r w:rsidR="00CF21E9" w:rsidRPr="004E7B57">
        <w:t>Ρ.Α.Α.Ε.Υ.</w:t>
      </w:r>
      <w:r w:rsidR="00856EDC" w:rsidRPr="004E7B57">
        <w:t xml:space="preserve"> δύναται να διαβιβάζει </w:t>
      </w:r>
      <w:r w:rsidR="0044340A" w:rsidRPr="004E7B57">
        <w:t xml:space="preserve">αρμοδίως </w:t>
      </w:r>
      <w:r w:rsidR="00856EDC" w:rsidRPr="004E7B57">
        <w:t>τα σχετικά ερωτήματα/διευκρινίσεις.</w:t>
      </w:r>
    </w:p>
    <w:p w14:paraId="5DA0E0F5" w14:textId="77777777" w:rsidR="003907F0" w:rsidRPr="003907F0" w:rsidRDefault="003907F0" w:rsidP="003907F0">
      <w:r w:rsidRPr="003907F0">
        <w:rPr>
          <w:b/>
          <w:bCs/>
        </w:rPr>
        <w:t>2.5.</w:t>
      </w:r>
      <w:r w:rsidRPr="003907F0">
        <w:t xml:space="preserve"> Για τους σκοπούς εφαρμογής της παρούσας, τηρούνται όλες οι υποχρεώσεις που απορρέουν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w:t>
      </w:r>
      <w:r w:rsidRPr="003907F0">
        <w:lastRenderedPageBreak/>
        <w:t>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14:paraId="7FE3091E" w14:textId="6D277866" w:rsidR="003907F0" w:rsidRPr="003907F0" w:rsidRDefault="003907F0" w:rsidP="003907F0">
      <w:r w:rsidRPr="003907F0">
        <w:rPr>
          <w:b/>
          <w:bCs/>
        </w:rPr>
        <w:t>2.6</w:t>
      </w:r>
      <w:r w:rsidRPr="003907F0">
        <w:t xml:space="preserve"> Οι ενισχύσεις που χορηγούνται με την παρούσα δεν θα πρέπει να σωρεύονται με άλλες μορφές ενίσχυσης για την κάλυψη των ίδιων επιλέξιμων δαπανών. Ειδικότερα, δε ότι οι </w:t>
      </w:r>
      <w:r>
        <w:t>Σ.Α.Η.Ε.</w:t>
      </w:r>
      <w:r w:rsidRPr="003907F0">
        <w:t xml:space="preserve"> που επωφελούνται στο πλαίσιο του παρόντος καθεστώτος δεν θα είναι επιλέξιμα για συμμετοχή σε μηχανισμό αποζημίωσης δυναμικότητας, εάν δημιουργηθεί στο μέλλον. Αυτό δεν αποκλείει να λαμβάνεται υπόψη η χωρητικότητα αποθήκευσης κατά τον προσδιορισμό της ανάγκης και του όγκου ενός ενδεχόμενου μηχανισμού αποζημίωσης της χωρητικότητας.</w:t>
      </w:r>
      <w:r w:rsidRPr="003907F0">
        <w:br/>
      </w:r>
      <w:r w:rsidRPr="003907F0">
        <w:rPr>
          <w:b/>
          <w:bCs/>
        </w:rPr>
        <w:t>2.7.</w:t>
      </w:r>
      <w:r w:rsidRPr="003907F0">
        <w:t xml:space="preserve"> Δεν χορηγείται ενίσχυση με την παρούσα σε προβληματικές επιχειρήσεις, όπως ορίζεται στις κατευθυντήριες γραμμές της Επιτροπής για τις κρατικές ενισχύσεις για τη διάσωση και την αναδιάρθρωση προβληματικών μη χρηματοπιστωτικών επιχειρήσεων, καθώς και ότι κατά την αξιολόγηση της ενίσχυσης υπέρ επιχείρησης κατά της οποίας εκκρεμεί ανάκτηση μετά από προηγούμενη απόφαση της Επιτροπής που κηρύσσει μια ενίσχυση παράνομη και ασυμβίβαστη με την εσωτερική αγορά, πρέπει να ληφθεί υπόψη το ποσό της ενίσχυσης που δεν έχει ανακτηθεί ακόμη.</w:t>
      </w:r>
    </w:p>
    <w:p w14:paraId="5D85D49B" w14:textId="77777777" w:rsidR="000546D5" w:rsidRPr="004E7B57" w:rsidRDefault="000546D5" w:rsidP="00E76414">
      <w:pPr>
        <w:pStyle w:val="a3"/>
      </w:pPr>
    </w:p>
    <w:p w14:paraId="0E45C252" w14:textId="19D8745D" w:rsidR="005C79E5" w:rsidRPr="00733B6B" w:rsidRDefault="00856EDC" w:rsidP="00733B6B">
      <w:pPr>
        <w:jc w:val="center"/>
        <w:rPr>
          <w:b/>
          <w:bCs/>
        </w:rPr>
      </w:pPr>
      <w:r w:rsidRPr="00733B6B">
        <w:rPr>
          <w:b/>
          <w:bCs/>
        </w:rPr>
        <w:t>Άρθρο</w:t>
      </w:r>
      <w:r w:rsidR="00CA5372" w:rsidRPr="00733B6B">
        <w:rPr>
          <w:b/>
          <w:bCs/>
        </w:rPr>
        <w:t xml:space="preserve"> 3</w:t>
      </w:r>
    </w:p>
    <w:p w14:paraId="723A37B1" w14:textId="1FF4D4C0" w:rsidR="000546D5" w:rsidRPr="00733B6B" w:rsidRDefault="00856EDC" w:rsidP="00733B6B">
      <w:pPr>
        <w:jc w:val="center"/>
        <w:rPr>
          <w:b/>
          <w:bCs/>
        </w:rPr>
      </w:pPr>
      <w:r w:rsidRPr="00733B6B">
        <w:rPr>
          <w:b/>
          <w:bCs/>
        </w:rPr>
        <w:t>Ορισμοί</w:t>
      </w:r>
    </w:p>
    <w:p w14:paraId="21CDD6D5" w14:textId="77777777" w:rsidR="003E30BB" w:rsidRPr="004E7B57" w:rsidRDefault="003E30BB" w:rsidP="00E76414"/>
    <w:p w14:paraId="056BB4C2" w14:textId="7F2A495D" w:rsidR="000546D5" w:rsidRPr="004E7B57" w:rsidRDefault="00856EDC" w:rsidP="00E76414">
      <w:r w:rsidRPr="004E7B57">
        <w:t xml:space="preserve">Πέραν των ορισμών που προβλέπονται στην κείμενη νομοθεσία και ιδίως </w:t>
      </w:r>
      <w:r w:rsidR="0044340A" w:rsidRPr="004E7B57">
        <w:t>στο άρθρο 2 του ν. 3468/2006 (Α’ 129), στο ν. 4425/2016 (Α’ 85), στο ν. 4685/2020 (Α’ 92) και στ</w:t>
      </w:r>
      <w:r w:rsidR="00100AF8" w:rsidRPr="004E7B57">
        <w:t>α</w:t>
      </w:r>
      <w:r w:rsidR="0044340A" w:rsidRPr="004E7B57">
        <w:t xml:space="preserve"> άρθρ</w:t>
      </w:r>
      <w:r w:rsidR="00100AF8" w:rsidRPr="004E7B57">
        <w:t>α</w:t>
      </w:r>
      <w:r w:rsidR="0044340A" w:rsidRPr="004E7B57">
        <w:t xml:space="preserve"> 2</w:t>
      </w:r>
      <w:r w:rsidR="00100AF8" w:rsidRPr="004E7B57">
        <w:t xml:space="preserve">, </w:t>
      </w:r>
      <w:r w:rsidR="0044340A" w:rsidRPr="004E7B57">
        <w:t xml:space="preserve"> </w:t>
      </w:r>
      <w:r w:rsidR="00100AF8" w:rsidRPr="004E7B57">
        <w:t xml:space="preserve">132Ε-132Η </w:t>
      </w:r>
      <w:r w:rsidR="0044340A" w:rsidRPr="004E7B57">
        <w:t>και 143ΣΤ του ν. 4001/2011 (Α’ 179) και των κατ’ εξουσιοδότηση αυτών Κωδίκων και Κανονισμών,</w:t>
      </w:r>
      <w:r w:rsidR="005B768F" w:rsidRPr="004E7B57">
        <w:t xml:space="preserve"> </w:t>
      </w:r>
      <w:r w:rsidRPr="004E7B57">
        <w:t xml:space="preserve">οι όροι που χρησιμοποιούνται </w:t>
      </w:r>
      <w:r w:rsidR="00316007" w:rsidRPr="004E7B57">
        <w:t xml:space="preserve">για τους σκοπούς και την εφαρμογή της </w:t>
      </w:r>
      <w:r w:rsidRPr="004E7B57">
        <w:t>παρούσα</w:t>
      </w:r>
      <w:r w:rsidR="00316007" w:rsidRPr="004E7B57">
        <w:t>ς</w:t>
      </w:r>
      <w:r w:rsidRPr="004E7B57">
        <w:t xml:space="preserve"> Προκήρυξη</w:t>
      </w:r>
      <w:r w:rsidR="00316007" w:rsidRPr="004E7B57">
        <w:t>ς</w:t>
      </w:r>
      <w:r w:rsidRPr="004E7B57">
        <w:t xml:space="preserve"> έχουν την ακόλουθη έννοια:</w:t>
      </w:r>
    </w:p>
    <w:p w14:paraId="1FD48232" w14:textId="6DBD724B" w:rsidR="00BC7717" w:rsidRPr="004E7B57" w:rsidRDefault="00813B51" w:rsidP="00380FB1">
      <w:r>
        <w:rPr>
          <w:b/>
          <w:bCs/>
        </w:rPr>
        <w:t xml:space="preserve">3.1. </w:t>
      </w:r>
      <w:r w:rsidR="00BD228E" w:rsidRPr="00813B51">
        <w:rPr>
          <w:b/>
          <w:bCs/>
        </w:rPr>
        <w:t>«</w:t>
      </w:r>
      <w:r w:rsidR="00BC7717" w:rsidRPr="00813B51">
        <w:rPr>
          <w:b/>
          <w:bCs/>
        </w:rPr>
        <w:t>Αγορές ηλεκτρικής ενέργειας</w:t>
      </w:r>
      <w:r w:rsidR="00BD228E" w:rsidRPr="00813B51">
        <w:rPr>
          <w:b/>
          <w:bCs/>
        </w:rPr>
        <w:t>» ή «Αγορές»</w:t>
      </w:r>
      <w:r w:rsidR="00BC7717" w:rsidRPr="00813B51">
        <w:rPr>
          <w:b/>
          <w:bCs/>
        </w:rPr>
        <w:t>:</w:t>
      </w:r>
      <w:r w:rsidR="00316007" w:rsidRPr="004E7B57">
        <w:t xml:space="preserve"> </w:t>
      </w:r>
      <w:r w:rsidR="008B2AD1" w:rsidRPr="004E7B57">
        <w:t xml:space="preserve">Η Αγορά Επόμενης Ημέρας, η </w:t>
      </w:r>
      <w:proofErr w:type="spellStart"/>
      <w:r w:rsidR="008B2AD1" w:rsidRPr="004E7B57">
        <w:t>Ενδοημερήσια</w:t>
      </w:r>
      <w:proofErr w:type="spellEnd"/>
      <w:r w:rsidR="008B2AD1" w:rsidRPr="004E7B57">
        <w:t xml:space="preserve"> Αγορά και η Αγορά Εξισορρόπησης </w:t>
      </w:r>
      <w:r w:rsidR="00316007" w:rsidRPr="004E7B57">
        <w:t xml:space="preserve">του άρθρου </w:t>
      </w:r>
      <w:r w:rsidR="009A0471" w:rsidRPr="004E7B57">
        <w:t>7</w:t>
      </w:r>
      <w:r w:rsidR="00885E9E" w:rsidRPr="004E7B57">
        <w:t xml:space="preserve"> </w:t>
      </w:r>
      <w:r w:rsidR="00316007" w:rsidRPr="004E7B57">
        <w:t>του ν. 4425/2016 (Α’ 185) στις οποίες δύνανται να συμμετέχουν οι Ενισχυόμενοι Σ.Α.Η.Ε</w:t>
      </w:r>
      <w:r w:rsidR="008B2AD1" w:rsidRPr="004E7B57">
        <w:t>.</w:t>
      </w:r>
      <w:r w:rsidR="00BC7717" w:rsidRPr="004E7B57">
        <w:t>.</w:t>
      </w:r>
    </w:p>
    <w:p w14:paraId="38A18921" w14:textId="5431B468" w:rsidR="00BC7717" w:rsidRPr="004E7B57" w:rsidRDefault="00813B51" w:rsidP="00380FB1">
      <w:r w:rsidRPr="00380FB1">
        <w:rPr>
          <w:b/>
          <w:bCs/>
        </w:rPr>
        <w:t xml:space="preserve">3.2. </w:t>
      </w:r>
      <w:r w:rsidR="00BD228E" w:rsidRPr="00380FB1">
        <w:rPr>
          <w:b/>
          <w:bCs/>
        </w:rPr>
        <w:t>«</w:t>
      </w:r>
      <w:r w:rsidR="00BC7717" w:rsidRPr="00380FB1">
        <w:rPr>
          <w:b/>
          <w:bCs/>
        </w:rPr>
        <w:t>Άδεια αποθήκευσης ηλεκτρικής ενέργειας</w:t>
      </w:r>
      <w:r w:rsidR="00BD228E" w:rsidRPr="00380FB1">
        <w:rPr>
          <w:b/>
          <w:bCs/>
        </w:rPr>
        <w:t>»</w:t>
      </w:r>
      <w:r w:rsidR="00BC7717" w:rsidRPr="00380FB1">
        <w:rPr>
          <w:b/>
          <w:bCs/>
        </w:rPr>
        <w:t>:</w:t>
      </w:r>
      <w:r w:rsidR="00BC7717" w:rsidRPr="004E7B57">
        <w:t xml:space="preserve"> </w:t>
      </w:r>
      <w:r w:rsidR="004930E3" w:rsidRPr="004E7B57">
        <w:t xml:space="preserve">Η </w:t>
      </w:r>
      <w:r w:rsidR="00BC7717" w:rsidRPr="004E7B57">
        <w:t xml:space="preserve">άδεια η οποία χορηγείται από τη </w:t>
      </w:r>
      <w:r w:rsidR="00CF21E9" w:rsidRPr="004E7B57">
        <w:t>Ρ.Α.Α.Ε.Υ.</w:t>
      </w:r>
      <w:r w:rsidR="00BC7717" w:rsidRPr="004E7B57">
        <w:t xml:space="preserve"> κατά τα άρθρα 132Ε έως 132Ζ του ν. 4001/2011 για την άσκηση της δραστηριότητας αποθήκευσης ηλεκτρικής ενέργειας.</w:t>
      </w:r>
    </w:p>
    <w:p w14:paraId="10022995" w14:textId="6347161F" w:rsidR="000546D5" w:rsidRPr="004E7B57" w:rsidRDefault="00813B51" w:rsidP="00380FB1">
      <w:r w:rsidRPr="00380FB1">
        <w:rPr>
          <w:b/>
        </w:rPr>
        <w:t xml:space="preserve">3.3. </w:t>
      </w:r>
      <w:r w:rsidR="00856EDC" w:rsidRPr="00380FB1">
        <w:rPr>
          <w:b/>
        </w:rPr>
        <w:t xml:space="preserve">«Αίτηση Συμμετοχής – Υπεύθυνη Δήλωση» ή «Αίτηση Συμμετοχής»: </w:t>
      </w:r>
      <w:r w:rsidR="00856EDC" w:rsidRPr="004E7B57">
        <w:t xml:space="preserve">Η αίτηση την οποία υποχρεούται να υποβάλει ο Ενδιαφερόμενος </w:t>
      </w:r>
      <w:r w:rsidR="00316007" w:rsidRPr="004E7B57">
        <w:t xml:space="preserve">(α) </w:t>
      </w:r>
      <w:r w:rsidR="00856EDC" w:rsidRPr="004E7B57">
        <w:t>για τη συμμετοχή του στην Ανταγωνιστική Διαδικασία,</w:t>
      </w:r>
      <w:r w:rsidR="00F2748D" w:rsidRPr="004E7B57">
        <w:t xml:space="preserve"> </w:t>
      </w:r>
      <w:r w:rsidR="00856EDC" w:rsidRPr="004E7B57">
        <w:t>σύμφωνα με</w:t>
      </w:r>
      <w:r w:rsidR="00F2748D" w:rsidRPr="004E7B57">
        <w:t xml:space="preserve"> </w:t>
      </w:r>
      <w:r w:rsidR="00856EDC" w:rsidRPr="004E7B57">
        <w:t>τους όρους της Προκήρυξης</w:t>
      </w:r>
      <w:r w:rsidR="00316007" w:rsidRPr="004E7B57">
        <w:t xml:space="preserve"> και</w:t>
      </w:r>
      <w:r w:rsidR="00B90039" w:rsidRPr="004E7B57">
        <w:t xml:space="preserve"> </w:t>
      </w:r>
      <w:r w:rsidR="00316007" w:rsidRPr="004E7B57">
        <w:t xml:space="preserve">(β) για την τροποποίηση </w:t>
      </w:r>
      <w:r w:rsidR="008B2AD1" w:rsidRPr="004E7B57">
        <w:t xml:space="preserve">ή κατάτμηση </w:t>
      </w:r>
      <w:r w:rsidR="00316007" w:rsidRPr="004E7B57">
        <w:t xml:space="preserve">της Άδειας Αποθήκευσης, </w:t>
      </w:r>
      <w:r w:rsidR="00B90039" w:rsidRPr="004E7B57">
        <w:t>σύμφωνα με την Ισχύ και την Χωρητικότητα Συμμετοχής στην Ανταγωνιστική Διαδικασία</w:t>
      </w:r>
      <w:r w:rsidR="004930E3" w:rsidRPr="004E7B57">
        <w:t>, εφόσον αυτή διαφέρει από την αναγραφόμενη στην υφιστάμενη Άδεια Αποθήκευσης</w:t>
      </w:r>
      <w:r w:rsidR="00475AA5" w:rsidRPr="004E7B57">
        <w:t xml:space="preserve"> και δεν είναι μεγαλύτερη από την αναγραφόμενη σε αυτή </w:t>
      </w:r>
      <w:r w:rsidR="00B90039" w:rsidRPr="004E7B57">
        <w:t xml:space="preserve">. </w:t>
      </w:r>
      <w:r w:rsidR="00316007" w:rsidRPr="004E7B57">
        <w:t xml:space="preserve">Η Αίτηση Συμμετοχής </w:t>
      </w:r>
      <w:r w:rsidR="00085B38">
        <w:t>ε</w:t>
      </w:r>
      <w:r w:rsidR="00316007" w:rsidRPr="004E7B57">
        <w:t xml:space="preserve">πέχει τη θέση </w:t>
      </w:r>
      <w:r w:rsidR="00856EDC" w:rsidRPr="004E7B57">
        <w:t xml:space="preserve">υπεύθυνης δήλωσης και έχει τη μορφή του </w:t>
      </w:r>
      <w:r w:rsidR="00856EDC" w:rsidRPr="007A0B4F">
        <w:t xml:space="preserve">Παραρτήματος </w:t>
      </w:r>
      <w:r w:rsidR="002A4773" w:rsidRPr="007A0B4F">
        <w:t>Β</w:t>
      </w:r>
      <w:r w:rsidR="00856EDC" w:rsidRPr="007A0B4F">
        <w:t>,</w:t>
      </w:r>
      <w:r w:rsidR="00856EDC" w:rsidRPr="004E7B57">
        <w:t xml:space="preserve"> ανάλογα με το αν ο Συμμετέχων είναι φυσικό ή νομικό πρόσωπο και συνοδεύεται, επί ποινή αποκλεισμού, από τα οριζόμενα στο άρθρο 1</w:t>
      </w:r>
      <w:r w:rsidR="002A4773" w:rsidRPr="004E7B57">
        <w:t>1</w:t>
      </w:r>
      <w:r w:rsidR="00856EDC" w:rsidRPr="004E7B57">
        <w:t xml:space="preserve"> δικαιολογητικά έγγραφα και στοιχεία. Η Αίτηση Συμμετοχής υπογράφεται από το φυσικό πρόσωπο ή, σε περίπτωση νομικού προσώπου, από το νόμιμο εκπρόσωπο του νομικού προσώπου, ο οποίος έχει ειδικά εξουσιοδοτηθεί για την εκπροσώπηση </w:t>
      </w:r>
      <w:r w:rsidR="00085B38">
        <w:t>του νομικού προσώπου</w:t>
      </w:r>
      <w:r w:rsidR="00856EDC" w:rsidRPr="004E7B57">
        <w:t xml:space="preserve"> στην Ανταγωνιστική Διαδικασία. Η Αίτηση Συμμετοχής θα πρέπει να φέρει, επί ποινή αποκλεισμού, θεώρηση του γνησίου της υπογραφής του υπογράφοντος προσώπου </w:t>
      </w:r>
      <w:r w:rsidR="00374FE3">
        <w:t xml:space="preserve">μέσω της ηλεκτρονικής πλατφόρμας </w:t>
      </w:r>
      <w:hyperlink r:id="rId12" w:history="1">
        <w:r w:rsidR="00374FE3" w:rsidRPr="00380FB1">
          <w:rPr>
            <w:rStyle w:val="-"/>
            <w:lang w:val="en-US"/>
          </w:rPr>
          <w:t>www</w:t>
        </w:r>
        <w:r w:rsidR="00374FE3" w:rsidRPr="003F0DAE">
          <w:rPr>
            <w:rStyle w:val="-"/>
          </w:rPr>
          <w:t>.</w:t>
        </w:r>
        <w:r w:rsidR="00374FE3" w:rsidRPr="00380FB1">
          <w:rPr>
            <w:rStyle w:val="-"/>
            <w:lang w:val="en-US"/>
          </w:rPr>
          <w:t>gov</w:t>
        </w:r>
        <w:r w:rsidR="00374FE3" w:rsidRPr="003F0DAE">
          <w:rPr>
            <w:rStyle w:val="-"/>
          </w:rPr>
          <w:t>.</w:t>
        </w:r>
        <w:r w:rsidR="00374FE3" w:rsidRPr="00380FB1">
          <w:rPr>
            <w:rStyle w:val="-"/>
            <w:lang w:val="en-US"/>
          </w:rPr>
          <w:t>gr</w:t>
        </w:r>
      </w:hyperlink>
      <w:r w:rsidR="00374FE3" w:rsidRPr="003F0DAE">
        <w:t xml:space="preserve"> </w:t>
      </w:r>
      <w:r w:rsidR="00374FE3">
        <w:t xml:space="preserve">ή </w:t>
      </w:r>
      <w:r w:rsidR="00856EDC" w:rsidRPr="004E7B57">
        <w:t>από οποιαδήποτε Διοικητική ή Αστυνομική Αρχή, Κ.Ε.Π.,</w:t>
      </w:r>
      <w:r w:rsidR="00C11F23" w:rsidRPr="004E7B57">
        <w:t xml:space="preserve"> </w:t>
      </w:r>
      <w:r w:rsidR="00856EDC" w:rsidRPr="004E7B57">
        <w:t xml:space="preserve">σύμφωνα με τις διατάξεις του άρθρου 11 του ν. 2690/1999 (ΦΕΚ Α’ 45), όπως </w:t>
      </w:r>
      <w:proofErr w:type="spellStart"/>
      <w:r w:rsidR="00856EDC" w:rsidRPr="004E7B57">
        <w:t>ισχύει</w:t>
      </w:r>
      <w:r w:rsidR="00374FE3">
        <w:t>,</w:t>
      </w:r>
      <w:r w:rsidR="00856EDC" w:rsidRPr="004E7B57">
        <w:t>και</w:t>
      </w:r>
      <w:proofErr w:type="spellEnd"/>
      <w:r w:rsidR="00856EDC" w:rsidRPr="004E7B57">
        <w:t xml:space="preserve"> με το περιεχόμενο του Παραρτήματος Β.</w:t>
      </w:r>
      <w:r w:rsidR="00475AA5" w:rsidRPr="004E7B57">
        <w:t xml:space="preserve"> Η Ρ.Α.Α.Ε.Υ. εξετάζει το αίτημα τροποποίησης ή κατάτμησης εφόσον ο Σ.Α.Η.Ε. επιλεγεί στην Ανταγωνιστική Διαδικασία.</w:t>
      </w:r>
    </w:p>
    <w:p w14:paraId="0855860F" w14:textId="57B5CBD5" w:rsidR="000546D5" w:rsidRPr="004E7B57" w:rsidRDefault="00813B51" w:rsidP="007A0B4F">
      <w:r w:rsidRPr="007A0B4F">
        <w:rPr>
          <w:b/>
        </w:rPr>
        <w:t xml:space="preserve">3.4. </w:t>
      </w:r>
      <w:r w:rsidR="00856EDC" w:rsidRPr="007A0B4F">
        <w:rPr>
          <w:b/>
        </w:rPr>
        <w:t>«Ανταγωνιστική Διαδικασία υποβολής προσφορών» ή «Ανταγωνιστική Διαδικασία</w:t>
      </w:r>
      <w:r w:rsidR="00856EDC" w:rsidRPr="004E7B57">
        <w:t xml:space="preserve">». Η ανταγωνιστική διαδικασία υποβολής προσφορών </w:t>
      </w:r>
      <w:r w:rsidR="00C11F23" w:rsidRPr="004E7B57">
        <w:t xml:space="preserve">στο πλαίσιο προκήρυξης που διενεργεί η </w:t>
      </w:r>
      <w:r w:rsidR="00CF21E9" w:rsidRPr="004E7B57">
        <w:t>Ρ.Α.Α.Ε.Υ.</w:t>
      </w:r>
      <w:r w:rsidR="00C11F23" w:rsidRPr="004E7B57">
        <w:t xml:space="preserve"> για </w:t>
      </w:r>
      <w:r w:rsidR="00C11F23" w:rsidRPr="004E7B57">
        <w:lastRenderedPageBreak/>
        <w:t xml:space="preserve">την ένταξη </w:t>
      </w:r>
      <w:bookmarkStart w:id="2" w:name="_Hlk132995654"/>
      <w:r w:rsidR="00C11F23" w:rsidRPr="004E7B57">
        <w:t xml:space="preserve">σταθμών αποθήκευσης ηλεκτρικής ενέργειας </w:t>
      </w:r>
      <w:bookmarkEnd w:id="2"/>
      <w:r w:rsidR="00C11F23" w:rsidRPr="004E7B57">
        <w:t>σε καθεστώς στήριξης με τη μορφή Επενδυτικής και Λειτουργικής Ενίσχυσης κατά τους όρους, προϋποθέσεις και διαδικασίες που ορίζονται στο άρθρο 143ΣΤ του ν. 4001/2011</w:t>
      </w:r>
      <w:r w:rsidR="00856EDC" w:rsidRPr="004E7B57">
        <w:t xml:space="preserve">, </w:t>
      </w:r>
      <w:r w:rsidR="007E7FFC" w:rsidRPr="004E7B57">
        <w:t xml:space="preserve">στην </w:t>
      </w:r>
      <w:r w:rsidR="00856EDC" w:rsidRPr="004E7B57">
        <w:t>παρούσα</w:t>
      </w:r>
      <w:r w:rsidR="00BC7717" w:rsidRPr="004E7B57">
        <w:t xml:space="preserve"> </w:t>
      </w:r>
      <w:r w:rsidR="00856EDC" w:rsidRPr="004E7B57">
        <w:t>Προκήρυξη</w:t>
      </w:r>
      <w:r w:rsidR="00BC7717" w:rsidRPr="004E7B57">
        <w:t xml:space="preserve">, </w:t>
      </w:r>
      <w:r w:rsidR="00856EDC" w:rsidRPr="004E7B57">
        <w:t>καθώς</w:t>
      </w:r>
      <w:r w:rsidR="00BC7717" w:rsidRPr="004E7B57">
        <w:t xml:space="preserve"> </w:t>
      </w:r>
      <w:r w:rsidR="00856EDC" w:rsidRPr="004E7B57">
        <w:t>και</w:t>
      </w:r>
      <w:r w:rsidR="00BC7717" w:rsidRPr="004E7B57">
        <w:t xml:space="preserve"> </w:t>
      </w:r>
      <w:r w:rsidR="007E7FFC" w:rsidRPr="004E7B57">
        <w:t>στην</w:t>
      </w:r>
      <w:r w:rsidR="00BC7717" w:rsidRPr="004E7B57">
        <w:t xml:space="preserve"> </w:t>
      </w:r>
      <w:r w:rsidR="00856EDC" w:rsidRPr="004E7B57">
        <w:t>Υπουργική</w:t>
      </w:r>
      <w:r w:rsidR="00BC7717" w:rsidRPr="004E7B57">
        <w:t xml:space="preserve"> </w:t>
      </w:r>
      <w:r w:rsidR="00856EDC" w:rsidRPr="004E7B57">
        <w:t>Απόφαση. Οι όροι και προϋποθέσεις συμμετοχής στην Ανταγωνιστική Διαδικασία αποτυπώνονται συνοπτικά στον Πίνακα 1 του Παραρτήματος Α.</w:t>
      </w:r>
    </w:p>
    <w:p w14:paraId="3613507D" w14:textId="5B08748B" w:rsidR="00BC7717" w:rsidRPr="004E7B57" w:rsidRDefault="00813B51" w:rsidP="007A0B4F">
      <w:r w:rsidRPr="007A0B4F">
        <w:rPr>
          <w:b/>
          <w:bCs/>
        </w:rPr>
        <w:t xml:space="preserve">3.5. </w:t>
      </w:r>
      <w:r w:rsidR="00BD228E" w:rsidRPr="007A0B4F">
        <w:rPr>
          <w:b/>
          <w:bCs/>
        </w:rPr>
        <w:t>«</w:t>
      </w:r>
      <w:r w:rsidR="00BC7717" w:rsidRPr="007A0B4F">
        <w:rPr>
          <w:b/>
          <w:bCs/>
        </w:rPr>
        <w:t xml:space="preserve">Απαιτούμενη Ενίσχυση </w:t>
      </w:r>
      <w:r w:rsidR="0051228D" w:rsidRPr="007A0B4F">
        <w:rPr>
          <w:b/>
          <w:bCs/>
        </w:rPr>
        <w:t>Σ.Α.Η.Ε.</w:t>
      </w:r>
      <w:r w:rsidR="00BD228E" w:rsidRPr="007A0B4F">
        <w:rPr>
          <w:b/>
          <w:bCs/>
        </w:rPr>
        <w:t>»</w:t>
      </w:r>
      <w:r w:rsidR="00BC7717" w:rsidRPr="007A0B4F">
        <w:rPr>
          <w:b/>
          <w:bCs/>
        </w:rPr>
        <w:t>:</w:t>
      </w:r>
      <w:r w:rsidR="00BC7717" w:rsidRPr="004E7B57">
        <w:t xml:space="preserve"> Το κατ’ έτος απαιτούμενο </w:t>
      </w:r>
      <w:r w:rsidR="00A63BAB">
        <w:t>ποσό</w:t>
      </w:r>
      <w:r w:rsidR="007A0B4F">
        <w:t xml:space="preserve"> </w:t>
      </w:r>
      <w:r w:rsidR="00BC7717" w:rsidRPr="004E7B57">
        <w:t xml:space="preserve">που λαμβάνει </w:t>
      </w:r>
      <w:r w:rsidR="00475AA5" w:rsidRPr="004E7B57">
        <w:t xml:space="preserve">ή καταβάλλει </w:t>
      </w:r>
      <w:r w:rsidR="00BC7717" w:rsidRPr="004E7B57">
        <w:t xml:space="preserve">ο Ενισχυόμενος </w:t>
      </w:r>
      <w:r w:rsidR="0051228D" w:rsidRPr="004E7B57">
        <w:t>Σ.Α.Η.Ε.</w:t>
      </w:r>
      <w:r w:rsidR="00BC7717" w:rsidRPr="004E7B57">
        <w:t xml:space="preserve"> στο πλαίσιο της παροχής λειτουργικής ενίσχυσης κατά την παρ. 3 του άρθρου 143ΣΤ του ν. 4001/2011, </w:t>
      </w:r>
      <w:r w:rsidR="00475AA5" w:rsidRPr="004E7B57">
        <w:t xml:space="preserve">και της σχετικής Σύμβασης Λειτουργικής Ενίσχυσης Σ.Α.Η.Ε. που συνάπτει με τον Διαχειριστή Α.Π.Ε. και Εγγυήσεων Προέλευσης, </w:t>
      </w:r>
      <w:r w:rsidR="00BC7717" w:rsidRPr="004E7B57">
        <w:t>το οποίο συμπληρώνει το Καθαρό Έσοδο Αγοράς αυτού</w:t>
      </w:r>
      <w:r w:rsidR="007E7FFC" w:rsidRPr="004E7B57">
        <w:t xml:space="preserve"> προκειμένου να λαμβάνει σε ετήσια βάση το Έσοδο Αναφοράς του</w:t>
      </w:r>
      <w:r w:rsidR="00BC7717" w:rsidRPr="004E7B57">
        <w:t>.</w:t>
      </w:r>
    </w:p>
    <w:p w14:paraId="580D889F" w14:textId="663DAE36" w:rsidR="00BC7717" w:rsidRPr="004E7B57" w:rsidRDefault="00813B51" w:rsidP="007A0B4F">
      <w:r w:rsidRPr="007A0B4F">
        <w:rPr>
          <w:b/>
          <w:bCs/>
        </w:rPr>
        <w:t xml:space="preserve">3.6. </w:t>
      </w:r>
      <w:r w:rsidR="00100AF8" w:rsidRPr="007A0B4F">
        <w:rPr>
          <w:b/>
          <w:bCs/>
        </w:rPr>
        <w:t>«</w:t>
      </w:r>
      <w:r w:rsidR="00BC7717" w:rsidRPr="007A0B4F">
        <w:rPr>
          <w:b/>
          <w:bCs/>
        </w:rPr>
        <w:t xml:space="preserve">Απολογιστικά Έσοδα Αγορών Ομάδας </w:t>
      </w:r>
      <w:r w:rsidR="0051228D" w:rsidRPr="007A0B4F">
        <w:rPr>
          <w:b/>
          <w:bCs/>
        </w:rPr>
        <w:t>Σ.Α.Η.Ε.</w:t>
      </w:r>
      <w:r w:rsidR="00100AF8" w:rsidRPr="007A0B4F">
        <w:rPr>
          <w:b/>
          <w:bCs/>
        </w:rPr>
        <w:t>»</w:t>
      </w:r>
      <w:r w:rsidR="00BC7717" w:rsidRPr="007A0B4F">
        <w:rPr>
          <w:b/>
          <w:bCs/>
        </w:rPr>
        <w:t>:</w:t>
      </w:r>
      <w:r w:rsidR="00BC7717" w:rsidRPr="004E7B57">
        <w:t xml:space="preserve"> Τα </w:t>
      </w:r>
      <w:r w:rsidR="00475AA5" w:rsidRPr="004E7B57">
        <w:t xml:space="preserve">μέσα </w:t>
      </w:r>
      <w:r w:rsidR="00316007" w:rsidRPr="004E7B57">
        <w:t xml:space="preserve">ετήσια </w:t>
      </w:r>
      <w:r w:rsidR="00BC7717" w:rsidRPr="004E7B57">
        <w:t xml:space="preserve">απολογιστικά έσοδα εκάστης </w:t>
      </w:r>
      <w:bookmarkStart w:id="3" w:name="_Hlk132995819"/>
      <w:r>
        <w:t>Ο</w:t>
      </w:r>
      <w:r w:rsidRPr="004E7B57">
        <w:t xml:space="preserve">μάδας </w:t>
      </w:r>
      <w:bookmarkEnd w:id="3"/>
      <w:r>
        <w:t>Έργων</w:t>
      </w:r>
      <w:r w:rsidRPr="004E7B57">
        <w:t xml:space="preserve"> </w:t>
      </w:r>
      <w:r w:rsidR="0051228D" w:rsidRPr="004E7B57">
        <w:t>Σ.Α.Η.Ε.</w:t>
      </w:r>
      <w:r w:rsidR="00BC7717" w:rsidRPr="004E7B57">
        <w:t xml:space="preserve"> από τη συμμετοχή τους στις </w:t>
      </w:r>
      <w:r w:rsidR="00316007" w:rsidRPr="004E7B57">
        <w:t>Α</w:t>
      </w:r>
      <w:r w:rsidR="00BC7717" w:rsidRPr="004E7B57">
        <w:t>γορές</w:t>
      </w:r>
      <w:r w:rsidR="00316007" w:rsidRPr="004E7B57">
        <w:t xml:space="preserve"> </w:t>
      </w:r>
      <w:r w:rsidR="00BC7717" w:rsidRPr="004E7B57">
        <w:t xml:space="preserve">ηλεκτρικής ενέργειας, τα οποία εκφράζονται σε ευρώ ανά μεγαβάτ (€/MW) συνολικής μέγιστης εγχεόμενης ισχύος των </w:t>
      </w:r>
      <w:r w:rsidR="007E7FFC" w:rsidRPr="004E7B57">
        <w:t xml:space="preserve">Σ.Α.Η.Ε. </w:t>
      </w:r>
      <w:r w:rsidR="00BC7717" w:rsidRPr="004E7B57">
        <w:t>της ομάδας.</w:t>
      </w:r>
    </w:p>
    <w:p w14:paraId="7F3D965E" w14:textId="56562472" w:rsidR="00BC7717" w:rsidRPr="004E7B57" w:rsidRDefault="00813B51" w:rsidP="007A0B4F">
      <w:r w:rsidRPr="007A0B4F">
        <w:rPr>
          <w:b/>
          <w:bCs/>
        </w:rPr>
        <w:t>3.</w:t>
      </w:r>
      <w:r w:rsidR="00085B38">
        <w:rPr>
          <w:b/>
          <w:bCs/>
        </w:rPr>
        <w:t>7</w:t>
      </w:r>
      <w:r w:rsidRPr="007A0B4F">
        <w:rPr>
          <w:b/>
          <w:bCs/>
        </w:rPr>
        <w:t xml:space="preserve">. </w:t>
      </w:r>
      <w:r w:rsidR="00BC7717" w:rsidRPr="007A0B4F">
        <w:rPr>
          <w:b/>
          <w:bCs/>
        </w:rPr>
        <w:t>«Βαθμός απόδοσης πλήρους κύκλου»:</w:t>
      </w:r>
      <w:r w:rsidR="00BC7717" w:rsidRPr="004E7B57">
        <w:t xml:space="preserve"> Ο βαθμός απόδοσης του </w:t>
      </w:r>
      <w:r w:rsidR="00746090" w:rsidRPr="004E7B57">
        <w:t xml:space="preserve">Σ.Α.Η.Ε. </w:t>
      </w:r>
      <w:r w:rsidR="00BC7717" w:rsidRPr="004E7B57">
        <w:t>κατά την πραγματοποίηση τ</w:t>
      </w:r>
      <w:r w:rsidR="00475AA5" w:rsidRPr="004E7B57">
        <w:t xml:space="preserve">υποποιημένου </w:t>
      </w:r>
      <w:r w:rsidR="00BC7717" w:rsidRPr="004E7B57">
        <w:t xml:space="preserve"> κύκλου απορρόφησης ηλεκτρικής ενέργειας από το δίκτυο </w:t>
      </w:r>
      <w:r w:rsidR="00475AA5" w:rsidRPr="004E7B57">
        <w:t xml:space="preserve">(μετάβαση από στάθμη φόρτισης 0% σε 100%) </w:t>
      </w:r>
      <w:r w:rsidR="00BC7717" w:rsidRPr="004E7B57">
        <w:t xml:space="preserve">και </w:t>
      </w:r>
      <w:proofErr w:type="spellStart"/>
      <w:r w:rsidR="00BC7717" w:rsidRPr="004E7B57">
        <w:t>επαναπόδοσής</w:t>
      </w:r>
      <w:proofErr w:type="spellEnd"/>
      <w:r w:rsidR="00BC7717" w:rsidRPr="004E7B57">
        <w:t xml:space="preserve"> της σε αυτό</w:t>
      </w:r>
      <w:r w:rsidR="00475AA5" w:rsidRPr="004E7B57">
        <w:t xml:space="preserve"> (μετάβαση από στάθμη φόρτισης 100% σε 0%), υπό τυποποιημένες συνθήκες δοκιμής, οριζόμενος ως το πηλίκο της συνολικής </w:t>
      </w:r>
      <w:proofErr w:type="spellStart"/>
      <w:r w:rsidR="00475AA5" w:rsidRPr="004E7B57">
        <w:t>αποδοθείσας</w:t>
      </w:r>
      <w:proofErr w:type="spellEnd"/>
      <w:r w:rsidR="00475AA5" w:rsidRPr="004E7B57">
        <w:t xml:space="preserve"> προς τη συνολική </w:t>
      </w:r>
      <w:proofErr w:type="spellStart"/>
      <w:r w:rsidR="00475AA5" w:rsidRPr="004E7B57">
        <w:t>απορροφηθείσα</w:t>
      </w:r>
      <w:proofErr w:type="spellEnd"/>
      <w:r w:rsidR="00475AA5" w:rsidRPr="004E7B57">
        <w:t xml:space="preserve"> ενέργεια, μετρούμενη στο σημείο σύνδεσης του Σ.Α.Η.Ε. με το δίκτυο</w:t>
      </w:r>
      <w:r w:rsidR="00BC7717" w:rsidRPr="004E7B57">
        <w:t>.</w:t>
      </w:r>
    </w:p>
    <w:p w14:paraId="396B94CE" w14:textId="52EA308D" w:rsidR="001C6281" w:rsidRPr="004E7B57" w:rsidRDefault="00813B51" w:rsidP="007A0B4F">
      <w:r w:rsidRPr="007A0B4F">
        <w:rPr>
          <w:b/>
          <w:bCs/>
        </w:rPr>
        <w:t>3.</w:t>
      </w:r>
      <w:r w:rsidR="00085B38">
        <w:rPr>
          <w:b/>
          <w:bCs/>
        </w:rPr>
        <w:t>8</w:t>
      </w:r>
      <w:r w:rsidRPr="007A0B4F">
        <w:rPr>
          <w:b/>
          <w:bCs/>
        </w:rPr>
        <w:t xml:space="preserve">. </w:t>
      </w:r>
      <w:r w:rsidR="00860925" w:rsidRPr="007A0B4F">
        <w:rPr>
          <w:b/>
          <w:bCs/>
        </w:rPr>
        <w:t>«</w:t>
      </w:r>
      <w:r w:rsidR="001C6281" w:rsidRPr="007A0B4F">
        <w:rPr>
          <w:b/>
          <w:bCs/>
        </w:rPr>
        <w:t>Διαθεσιμότητα Ισχύος Ενισχυόμενου Σ.Α.Η.Ε.</w:t>
      </w:r>
      <w:r w:rsidR="00860925" w:rsidRPr="007A0B4F">
        <w:rPr>
          <w:b/>
          <w:bCs/>
        </w:rPr>
        <w:t>»</w:t>
      </w:r>
      <w:r w:rsidR="001C6281" w:rsidRPr="004E7B57">
        <w:t xml:space="preserve">: Ο λόγος της </w:t>
      </w:r>
      <w:r w:rsidR="00475AA5" w:rsidRPr="004E7B57">
        <w:t xml:space="preserve">μέσης </w:t>
      </w:r>
      <w:r w:rsidR="001C6281" w:rsidRPr="004E7B57">
        <w:t xml:space="preserve">διαθέσιμης ισχύος του Σ.Α.Η.Ε. </w:t>
      </w:r>
      <w:r w:rsidR="00475AA5" w:rsidRPr="004E7B57">
        <w:t xml:space="preserve">κατά τη διάρκεια </w:t>
      </w:r>
      <w:r w:rsidR="006525D2" w:rsidRPr="004E7B57">
        <w:t xml:space="preserve">ενός έτους (ή άλλης χρονικής περιόδου) </w:t>
      </w:r>
      <w:r w:rsidR="001C6281" w:rsidRPr="004E7B57">
        <w:t>προς τη Μέγιστη Ισχύ Έγχυσης</w:t>
      </w:r>
      <w:r w:rsidR="006525D2" w:rsidRPr="004E7B57">
        <w:t xml:space="preserve"> αυτού, υπολογιζόμενη με εφαρμογή του προτύπου IEEE 762, προσαρμοσμένου για εφαρμογή σε Σ.Α.Η.Ε.</w:t>
      </w:r>
      <w:r w:rsidR="001C6281" w:rsidRPr="004E7B57">
        <w:t xml:space="preserve">, όπως </w:t>
      </w:r>
      <w:r w:rsidR="004930E3" w:rsidRPr="004E7B57">
        <w:t>προσδιορίζεται στο Παράρτημα Η</w:t>
      </w:r>
      <w:r w:rsidR="0007290D" w:rsidRPr="004E7B57">
        <w:t>.</w:t>
      </w:r>
      <w:r w:rsidR="005F303A" w:rsidRPr="004E7B57">
        <w:t>1</w:t>
      </w:r>
      <w:r w:rsidR="001C6281" w:rsidRPr="004E7B57">
        <w:t>.</w:t>
      </w:r>
    </w:p>
    <w:p w14:paraId="25FE5489" w14:textId="173507BF" w:rsidR="006525D2" w:rsidRPr="004E7B57" w:rsidRDefault="00813B51" w:rsidP="007A0B4F">
      <w:r w:rsidRPr="007A0B4F">
        <w:rPr>
          <w:b/>
          <w:bCs/>
        </w:rPr>
        <w:t>3.</w:t>
      </w:r>
      <w:r w:rsidR="00085B38">
        <w:rPr>
          <w:b/>
          <w:bCs/>
        </w:rPr>
        <w:t>9</w:t>
      </w:r>
      <w:r w:rsidRPr="007A0B4F">
        <w:rPr>
          <w:b/>
          <w:bCs/>
        </w:rPr>
        <w:t xml:space="preserve">. </w:t>
      </w:r>
      <w:r w:rsidR="006525D2" w:rsidRPr="007A0B4F">
        <w:rPr>
          <w:b/>
          <w:bCs/>
        </w:rPr>
        <w:t>«Διαχειριστής Α.Π.Ε. και Εγγυήσεων Προέλευσης»</w:t>
      </w:r>
      <w:r w:rsidR="006525D2" w:rsidRPr="004E7B57">
        <w:t>: Ο Διαχειριστής Α.Π.Ε. και Εγγυήσεων Προέλευσης (Δ.Α.Π.Ε.Ε.Π. Α.Ε.), που προβλέπεται στο άρθρο 118 του ν. 4001/2011.</w:t>
      </w:r>
    </w:p>
    <w:p w14:paraId="598ECD31" w14:textId="0BFEB654" w:rsidR="006525D2" w:rsidRPr="004E7B57" w:rsidRDefault="00813B51" w:rsidP="007A0B4F">
      <w:r w:rsidRPr="007A0B4F">
        <w:rPr>
          <w:b/>
          <w:bCs/>
        </w:rPr>
        <w:t>3.</w:t>
      </w:r>
      <w:r w:rsidR="00085B38">
        <w:rPr>
          <w:b/>
          <w:bCs/>
        </w:rPr>
        <w:t>10</w:t>
      </w:r>
      <w:r w:rsidRPr="007A0B4F">
        <w:rPr>
          <w:b/>
          <w:bCs/>
        </w:rPr>
        <w:t xml:space="preserve">. </w:t>
      </w:r>
      <w:r w:rsidR="00885E9E" w:rsidRPr="007A0B4F">
        <w:rPr>
          <w:b/>
          <w:bCs/>
        </w:rPr>
        <w:t>«</w:t>
      </w:r>
      <w:r w:rsidR="006525D2" w:rsidRPr="007A0B4F">
        <w:rPr>
          <w:b/>
          <w:bCs/>
        </w:rPr>
        <w:t>Διαχειριστής του Ελληνικού Συστήματος Μεταφοράς Ηλεκτρικής Ενέργειας (Ε.Σ.Μ.Η.Ε.)</w:t>
      </w:r>
      <w:r w:rsidR="00885E9E" w:rsidRPr="007A0B4F">
        <w:rPr>
          <w:b/>
          <w:bCs/>
        </w:rPr>
        <w:t>»</w:t>
      </w:r>
      <w:r w:rsidR="006525D2" w:rsidRPr="004E7B57">
        <w:t>: Ο Διαχειριστής του Ε.Σ.Μ.Η.Ε. που προβλέπεται στα άρθρα 17 του ν. 4425/2016 και 97 του ν. 4001/2011.</w:t>
      </w:r>
    </w:p>
    <w:p w14:paraId="0FDC96EE" w14:textId="55A562BC" w:rsidR="00E24E4F" w:rsidRPr="004E7B57" w:rsidRDefault="00813B51" w:rsidP="007A0B4F">
      <w:r w:rsidRPr="007A0B4F">
        <w:rPr>
          <w:b/>
          <w:bCs/>
        </w:rPr>
        <w:t>3.1</w:t>
      </w:r>
      <w:r w:rsidR="00085B38">
        <w:rPr>
          <w:b/>
          <w:bCs/>
        </w:rPr>
        <w:t>1</w:t>
      </w:r>
      <w:r w:rsidRPr="007A0B4F">
        <w:rPr>
          <w:b/>
          <w:bCs/>
        </w:rPr>
        <w:t xml:space="preserve">. </w:t>
      </w:r>
      <w:r w:rsidR="00860925" w:rsidRPr="007A0B4F">
        <w:rPr>
          <w:b/>
          <w:bCs/>
        </w:rPr>
        <w:t>«</w:t>
      </w:r>
      <w:r w:rsidR="00E24E4F" w:rsidRPr="007A0B4F">
        <w:rPr>
          <w:b/>
          <w:bCs/>
        </w:rPr>
        <w:t>Διμερείς συμβάσεις αγοραπωλησίας ηλεκτρικής ενέργειας</w:t>
      </w:r>
      <w:r w:rsidR="00860925" w:rsidRPr="007A0B4F">
        <w:rPr>
          <w:b/>
          <w:bCs/>
        </w:rPr>
        <w:t>»</w:t>
      </w:r>
      <w:r w:rsidR="00E24E4F" w:rsidRPr="007A0B4F">
        <w:rPr>
          <w:b/>
          <w:bCs/>
        </w:rPr>
        <w:t>:</w:t>
      </w:r>
      <w:r w:rsidR="00E24E4F" w:rsidRPr="004E7B57">
        <w:t xml:space="preserve"> Συμβάσεις αγοραπωλησίας ηλεκτρικής ενέργειας που συνάπτονται διμερώς εκτός της </w:t>
      </w:r>
      <w:r w:rsidR="0051228D" w:rsidRPr="007A0B4F">
        <w:rPr>
          <w:lang w:val="en-US"/>
        </w:rPr>
        <w:t>E</w:t>
      </w:r>
      <w:proofErr w:type="spellStart"/>
      <w:r w:rsidR="00E24E4F" w:rsidRPr="004E7B57">
        <w:t>νεργειακής</w:t>
      </w:r>
      <w:proofErr w:type="spellEnd"/>
      <w:r w:rsidR="00E24E4F" w:rsidRPr="004E7B57">
        <w:t xml:space="preserve"> </w:t>
      </w:r>
      <w:r w:rsidR="0051228D" w:rsidRPr="007A0B4F">
        <w:rPr>
          <w:lang w:val="en-US"/>
        </w:rPr>
        <w:t>X</w:t>
      </w:r>
      <w:proofErr w:type="spellStart"/>
      <w:r w:rsidR="00E24E4F" w:rsidRPr="004E7B57">
        <w:t>ρηματοπιστωτικής</w:t>
      </w:r>
      <w:proofErr w:type="spellEnd"/>
      <w:r w:rsidR="00E24E4F" w:rsidRPr="004E7B57">
        <w:t xml:space="preserve"> </w:t>
      </w:r>
      <w:r w:rsidR="0051228D" w:rsidRPr="007A0B4F">
        <w:rPr>
          <w:lang w:val="en-US"/>
        </w:rPr>
        <w:t>A</w:t>
      </w:r>
      <w:proofErr w:type="spellStart"/>
      <w:r w:rsidR="00E24E4F" w:rsidRPr="004E7B57">
        <w:t>γοράς</w:t>
      </w:r>
      <w:proofErr w:type="spellEnd"/>
      <w:r w:rsidR="00E24E4F" w:rsidRPr="004E7B57">
        <w:t xml:space="preserve">, σύμφωνα με την παρ. 1 του άρθρου </w:t>
      </w:r>
      <w:r w:rsidR="009A0471" w:rsidRPr="004E7B57">
        <w:t>7</w:t>
      </w:r>
      <w:r w:rsidR="00885E9E" w:rsidRPr="004E7B57">
        <w:t xml:space="preserve"> </w:t>
      </w:r>
      <w:r w:rsidR="00E24E4F" w:rsidRPr="004E7B57">
        <w:t>του ν. 4425/2016 (Α’ 185).</w:t>
      </w:r>
    </w:p>
    <w:p w14:paraId="655E62F2" w14:textId="3BD80962" w:rsidR="00E24E4F" w:rsidRPr="004E7B57" w:rsidRDefault="00813B51" w:rsidP="007A0B4F">
      <w:r w:rsidRPr="007A0B4F">
        <w:rPr>
          <w:b/>
          <w:bCs/>
        </w:rPr>
        <w:t>3.1</w:t>
      </w:r>
      <w:r w:rsidR="00085B38">
        <w:rPr>
          <w:b/>
          <w:bCs/>
        </w:rPr>
        <w:t>2</w:t>
      </w:r>
      <w:r w:rsidRPr="007A0B4F">
        <w:rPr>
          <w:b/>
          <w:bCs/>
        </w:rPr>
        <w:t xml:space="preserve">. </w:t>
      </w:r>
      <w:r w:rsidR="00860925" w:rsidRPr="007A0B4F">
        <w:rPr>
          <w:b/>
          <w:bCs/>
        </w:rPr>
        <w:t>«</w:t>
      </w:r>
      <w:r w:rsidR="00E24E4F" w:rsidRPr="007A0B4F">
        <w:rPr>
          <w:b/>
          <w:bCs/>
        </w:rPr>
        <w:t xml:space="preserve">Εγγυημένη (ωφέλιμη) χωρητικότητα </w:t>
      </w:r>
      <w:r w:rsidR="0051228D" w:rsidRPr="007A0B4F">
        <w:rPr>
          <w:b/>
          <w:bCs/>
        </w:rPr>
        <w:t>Σ.Α.Η.Ε.</w:t>
      </w:r>
      <w:r w:rsidR="00860925" w:rsidRPr="007A0B4F">
        <w:rPr>
          <w:b/>
          <w:bCs/>
        </w:rPr>
        <w:t>»</w:t>
      </w:r>
      <w:r w:rsidR="00E24E4F" w:rsidRPr="007A0B4F">
        <w:rPr>
          <w:b/>
          <w:bCs/>
        </w:rPr>
        <w:t>:</w:t>
      </w:r>
      <w:r w:rsidR="00E24E4F" w:rsidRPr="004E7B57">
        <w:t xml:space="preserve"> Ως ορίζεται στην περ. (</w:t>
      </w:r>
      <w:proofErr w:type="spellStart"/>
      <w:r w:rsidR="00E24E4F" w:rsidRPr="004E7B57">
        <w:t>λη</w:t>
      </w:r>
      <w:proofErr w:type="spellEnd"/>
      <w:r w:rsidR="00E24E4F" w:rsidRPr="004E7B57">
        <w:t>) της παρ. 3 του άρθρου 2 του ν. 4001/2011.</w:t>
      </w:r>
    </w:p>
    <w:p w14:paraId="7AD089E3" w14:textId="434ABB43" w:rsidR="000546D5" w:rsidRPr="004E7B57" w:rsidRDefault="00813B51" w:rsidP="007A0B4F">
      <w:r w:rsidRPr="007A0B4F">
        <w:rPr>
          <w:b/>
        </w:rPr>
        <w:t>3.1</w:t>
      </w:r>
      <w:r w:rsidR="00085B38">
        <w:rPr>
          <w:b/>
        </w:rPr>
        <w:t>3</w:t>
      </w:r>
      <w:r w:rsidRPr="007A0B4F">
        <w:rPr>
          <w:b/>
        </w:rPr>
        <w:t xml:space="preserve">. </w:t>
      </w:r>
      <w:r w:rsidR="00856EDC" w:rsidRPr="007A0B4F">
        <w:rPr>
          <w:b/>
        </w:rPr>
        <w:t xml:space="preserve">«Εγγυητικές Επιστολές»: </w:t>
      </w:r>
      <w:r w:rsidR="00856EDC" w:rsidRPr="004E7B57">
        <w:t>Η Εγγυητική Επιστολή Συμμετοχής</w:t>
      </w:r>
      <w:r w:rsidR="0051228D" w:rsidRPr="004E7B57">
        <w:t xml:space="preserve">, </w:t>
      </w:r>
      <w:r w:rsidR="00856EDC" w:rsidRPr="004E7B57">
        <w:t xml:space="preserve">η Εγγυητική Επιστολή </w:t>
      </w:r>
      <w:r w:rsidR="0026596F" w:rsidRPr="004E7B57">
        <w:t>Έντεχνης και Έγκαιρης</w:t>
      </w:r>
      <w:r w:rsidR="0051228D" w:rsidRPr="004E7B57">
        <w:t xml:space="preserve"> </w:t>
      </w:r>
      <w:r w:rsidR="00AD22DD" w:rsidRPr="004E7B57">
        <w:t>Εκτέλεσης</w:t>
      </w:r>
      <w:r w:rsidR="00856EDC" w:rsidRPr="004E7B57">
        <w:t xml:space="preserve"> και </w:t>
      </w:r>
      <w:r w:rsidR="0051228D" w:rsidRPr="004E7B57">
        <w:t xml:space="preserve">η Εγγυητική Επιστολή Καλής </w:t>
      </w:r>
      <w:r w:rsidR="00856EDC" w:rsidRPr="004E7B57">
        <w:t xml:space="preserve">Λειτουργίας που κατατίθενται στη </w:t>
      </w:r>
      <w:r w:rsidR="00CF21E9" w:rsidRPr="004E7B57">
        <w:t>Ρ.Α.Α.Ε.Υ.</w:t>
      </w:r>
      <w:r w:rsidR="00856EDC" w:rsidRPr="004E7B57">
        <w:t xml:space="preserve">, σύμφωνα με τα οριζόμενα στην παρ. </w:t>
      </w:r>
      <w:r w:rsidR="00856EDC" w:rsidRPr="00E3119B">
        <w:t>1</w:t>
      </w:r>
      <w:r w:rsidR="00B678CB" w:rsidRPr="00E3119B">
        <w:t>1</w:t>
      </w:r>
      <w:r w:rsidR="00856EDC" w:rsidRPr="00E3119B">
        <w:t>.</w:t>
      </w:r>
      <w:r w:rsidR="007A0B4F" w:rsidRPr="00E3119B">
        <w:t>3</w:t>
      </w:r>
      <w:r w:rsidR="00856EDC" w:rsidRPr="00E3119B">
        <w:t>.</w:t>
      </w:r>
      <w:r w:rsidR="00856EDC" w:rsidRPr="004E7B57">
        <w:t xml:space="preserve"> της παρούσας.</w:t>
      </w:r>
    </w:p>
    <w:p w14:paraId="7B26C773" w14:textId="6F0E39B7" w:rsidR="00923E5B" w:rsidRPr="007A0B4F" w:rsidRDefault="00813B51" w:rsidP="007A0B4F">
      <w:pPr>
        <w:rPr>
          <w:lang w:val="en-US"/>
        </w:rPr>
      </w:pPr>
      <w:r w:rsidRPr="007A0B4F">
        <w:rPr>
          <w:b/>
        </w:rPr>
        <w:t>3.1</w:t>
      </w:r>
      <w:r w:rsidR="00085B38">
        <w:rPr>
          <w:b/>
        </w:rPr>
        <w:t>4</w:t>
      </w:r>
      <w:r w:rsidRPr="007A0B4F">
        <w:rPr>
          <w:b/>
        </w:rPr>
        <w:t xml:space="preserve">. </w:t>
      </w:r>
      <w:r w:rsidR="00923E5B" w:rsidRPr="007A0B4F">
        <w:rPr>
          <w:b/>
        </w:rPr>
        <w:t>«Εγκριτική Απόφαση»:</w:t>
      </w:r>
      <w:r w:rsidR="00923E5B" w:rsidRPr="004E7B57">
        <w:t xml:space="preserve"> Η υπ’ αριθ. </w:t>
      </w:r>
      <w:r w:rsidR="00923E5B" w:rsidRPr="007A0B4F">
        <w:rPr>
          <w:lang w:val="en-US"/>
        </w:rPr>
        <w:t>C</w:t>
      </w:r>
      <w:r w:rsidR="007A0B4F" w:rsidRPr="007A0B4F">
        <w:rPr>
          <w:lang w:val="en-US"/>
        </w:rPr>
        <w:t xml:space="preserve"> </w:t>
      </w:r>
      <w:r w:rsidR="00923E5B" w:rsidRPr="007A0B4F">
        <w:rPr>
          <w:lang w:val="en-US"/>
        </w:rPr>
        <w:t xml:space="preserve">(2022) 6461/ 05.09.2022 </w:t>
      </w:r>
      <w:r w:rsidR="00923E5B" w:rsidRPr="004E7B57">
        <w:t>με</w:t>
      </w:r>
      <w:r w:rsidR="00923E5B" w:rsidRPr="007A0B4F">
        <w:rPr>
          <w:lang w:val="en-US"/>
        </w:rPr>
        <w:t xml:space="preserve"> </w:t>
      </w:r>
      <w:r w:rsidR="00923E5B" w:rsidRPr="004E7B57">
        <w:t>θέμα</w:t>
      </w:r>
      <w:r w:rsidR="00923E5B" w:rsidRPr="007A0B4F">
        <w:rPr>
          <w:lang w:val="en-US"/>
        </w:rPr>
        <w:t xml:space="preserve"> «State Aid SA 64736 (2022/</w:t>
      </w:r>
      <w:r w:rsidR="00923E5B" w:rsidRPr="004E7B57">
        <w:t>Ν</w:t>
      </w:r>
      <w:r w:rsidR="00923E5B" w:rsidRPr="007A0B4F">
        <w:rPr>
          <w:lang w:val="en-US"/>
        </w:rPr>
        <w:t>)</w:t>
      </w:r>
      <w:r w:rsidR="00F2748D" w:rsidRPr="007A0B4F">
        <w:rPr>
          <w:lang w:val="en-US"/>
        </w:rPr>
        <w:t xml:space="preserve"> </w:t>
      </w:r>
      <w:r w:rsidR="00923E5B" w:rsidRPr="007A0B4F">
        <w:rPr>
          <w:lang w:val="en-US"/>
        </w:rPr>
        <w:t xml:space="preserve">RRF - Greece - Financial support in </w:t>
      </w:r>
      <w:proofErr w:type="spellStart"/>
      <w:r w:rsidR="00923E5B" w:rsidRPr="007A0B4F">
        <w:rPr>
          <w:lang w:val="en-US"/>
        </w:rPr>
        <w:t>favour</w:t>
      </w:r>
      <w:proofErr w:type="spellEnd"/>
      <w:r w:rsidR="00923E5B" w:rsidRPr="007A0B4F">
        <w:rPr>
          <w:lang w:val="en-US"/>
        </w:rPr>
        <w:t xml:space="preserve"> of electricity storage facilities» </w:t>
      </w:r>
      <w:r w:rsidR="00923E5B" w:rsidRPr="004E7B57">
        <w:t>απόφαση</w:t>
      </w:r>
      <w:r w:rsidR="00923E5B" w:rsidRPr="007A0B4F">
        <w:rPr>
          <w:lang w:val="en-US"/>
        </w:rPr>
        <w:t xml:space="preserve"> </w:t>
      </w:r>
      <w:r w:rsidR="00923E5B" w:rsidRPr="004E7B57">
        <w:t>της</w:t>
      </w:r>
      <w:r w:rsidR="00923E5B" w:rsidRPr="007A0B4F">
        <w:rPr>
          <w:lang w:val="en-US"/>
        </w:rPr>
        <w:t xml:space="preserve"> </w:t>
      </w:r>
      <w:r w:rsidR="00923E5B" w:rsidRPr="004E7B57">
        <w:t>Ευρωπαϊκής</w:t>
      </w:r>
      <w:r w:rsidR="00923E5B" w:rsidRPr="007A0B4F">
        <w:rPr>
          <w:lang w:val="en-US"/>
        </w:rPr>
        <w:t xml:space="preserve"> </w:t>
      </w:r>
      <w:r w:rsidR="00923E5B" w:rsidRPr="004E7B57">
        <w:t>Επιτροπής</w:t>
      </w:r>
      <w:r w:rsidR="00923E5B" w:rsidRPr="007A0B4F">
        <w:rPr>
          <w:lang w:val="en-US"/>
        </w:rPr>
        <w:t>.</w:t>
      </w:r>
    </w:p>
    <w:p w14:paraId="4B6B36ED" w14:textId="159C94CD" w:rsidR="00D7432A" w:rsidRPr="004E7B57" w:rsidRDefault="00813B51" w:rsidP="007A0B4F">
      <w:r w:rsidRPr="007A0B4F">
        <w:rPr>
          <w:b/>
        </w:rPr>
        <w:t>3.1</w:t>
      </w:r>
      <w:r w:rsidR="00085B38">
        <w:rPr>
          <w:b/>
        </w:rPr>
        <w:t>5</w:t>
      </w:r>
      <w:r w:rsidRPr="007A0B4F">
        <w:rPr>
          <w:b/>
        </w:rPr>
        <w:t xml:space="preserve">. </w:t>
      </w:r>
      <w:r w:rsidR="00D7432A" w:rsidRPr="007A0B4F">
        <w:rPr>
          <w:b/>
        </w:rPr>
        <w:t>«Εκτιμώμενα Έσοδα Αγορών Ομάδας</w:t>
      </w:r>
      <w:r w:rsidRPr="007A0B4F">
        <w:rPr>
          <w:b/>
        </w:rPr>
        <w:t xml:space="preserve"> Έργων</w:t>
      </w:r>
      <w:r w:rsidR="00D7432A" w:rsidRPr="007A0B4F">
        <w:rPr>
          <w:b/>
        </w:rPr>
        <w:t xml:space="preserve">»: </w:t>
      </w:r>
      <w:r w:rsidR="00D7432A" w:rsidRPr="004E7B57">
        <w:t xml:space="preserve">Τα </w:t>
      </w:r>
      <w:r w:rsidR="008422F8" w:rsidRPr="004E7B57">
        <w:t xml:space="preserve">μέσα </w:t>
      </w:r>
      <w:r w:rsidR="00B36F96" w:rsidRPr="004E7B57">
        <w:t xml:space="preserve">ετήσια </w:t>
      </w:r>
      <w:r w:rsidR="00690BA9" w:rsidRPr="004E7B57">
        <w:t xml:space="preserve">καθαρά </w:t>
      </w:r>
      <w:r w:rsidR="00D7432A" w:rsidRPr="004E7B57">
        <w:t xml:space="preserve">έσοδα εκάστης </w:t>
      </w:r>
      <w:r w:rsidR="008422F8" w:rsidRPr="004E7B57">
        <w:t>Ο</w:t>
      </w:r>
      <w:r w:rsidR="00D7432A" w:rsidRPr="004E7B57">
        <w:t xml:space="preserve">μάδας </w:t>
      </w:r>
      <w:r w:rsidR="0051228D" w:rsidRPr="004E7B57">
        <w:t>Σ.Α.Η.Ε.</w:t>
      </w:r>
      <w:r w:rsidR="00D7432A" w:rsidRPr="004E7B57">
        <w:t xml:space="preserve"> από τις </w:t>
      </w:r>
      <w:r w:rsidR="008422F8" w:rsidRPr="004E7B57">
        <w:t>Α</w:t>
      </w:r>
      <w:r w:rsidR="00D7432A" w:rsidRPr="004E7B57">
        <w:t xml:space="preserve">γορές ηλεκτρικής ενέργειας </w:t>
      </w:r>
      <w:r w:rsidR="008422F8" w:rsidRPr="004E7B57">
        <w:t xml:space="preserve">κατά τη διάρκεια της επόμενης Ρυθμιστικής Περιόδου, </w:t>
      </w:r>
      <w:r w:rsidR="00D7432A" w:rsidRPr="004E7B57">
        <w:t xml:space="preserve">σε ευρώ ανά μεγαβάτ (€/MW) </w:t>
      </w:r>
      <w:r w:rsidR="008422F8" w:rsidRPr="004E7B57">
        <w:t>Μ</w:t>
      </w:r>
      <w:r w:rsidR="00D7432A" w:rsidRPr="004E7B57">
        <w:t xml:space="preserve">έγιστης </w:t>
      </w:r>
      <w:r w:rsidR="008422F8" w:rsidRPr="004E7B57">
        <w:t>Ι</w:t>
      </w:r>
      <w:r w:rsidR="00D7432A" w:rsidRPr="004E7B57">
        <w:t xml:space="preserve">σχύος </w:t>
      </w:r>
      <w:r w:rsidR="008422F8" w:rsidRPr="004E7B57">
        <w:t>Έ</w:t>
      </w:r>
      <w:r w:rsidR="00D7432A" w:rsidRPr="004E7B57">
        <w:t xml:space="preserve">γχυσης, όπως εκτιμώνται </w:t>
      </w:r>
      <w:proofErr w:type="spellStart"/>
      <w:r w:rsidR="008422F8" w:rsidRPr="007A0B4F">
        <w:rPr>
          <w:lang w:val="en-US"/>
        </w:rPr>
        <w:t>ex</w:t>
      </w:r>
      <w:r w:rsidR="008422F8" w:rsidRPr="004E7B57">
        <w:t xml:space="preserve"> </w:t>
      </w:r>
      <w:r w:rsidR="008422F8" w:rsidRPr="007A0B4F">
        <w:rPr>
          <w:lang w:val="en-US"/>
        </w:rPr>
        <w:t>ante</w:t>
      </w:r>
      <w:proofErr w:type="spellEnd"/>
      <w:r w:rsidR="008422F8" w:rsidRPr="004E7B57">
        <w:t xml:space="preserve"> </w:t>
      </w:r>
      <w:r w:rsidR="00D7432A" w:rsidRPr="004E7B57">
        <w:t xml:space="preserve">από τη </w:t>
      </w:r>
      <w:r w:rsidR="00CF21E9" w:rsidRPr="004E7B57">
        <w:t>Ρ.Α.Α.Ε.Υ.</w:t>
      </w:r>
      <w:r w:rsidR="00D7432A" w:rsidRPr="004E7B57">
        <w:t xml:space="preserve"> </w:t>
      </w:r>
      <w:r w:rsidR="008422F8" w:rsidRPr="004E7B57">
        <w:t xml:space="preserve">πριν από την έναρξη της Ρυθμιστικής Περιόδου, κατόπιν εισήγησης του Διαχειριστή Α.Π.Ε. και Εγγυήσεων Προέλευσης, </w:t>
      </w:r>
      <w:r w:rsidR="00D7432A" w:rsidRPr="004E7B57">
        <w:t xml:space="preserve">στο πλαίσιο εφαρμογής της Μεθοδολογίας Ετήσιας Ενίσχυσης </w:t>
      </w:r>
      <w:r w:rsidR="00D92FC1" w:rsidRPr="004E7B57">
        <w:t>Σ.Α.Η.Ε.</w:t>
      </w:r>
      <w:r w:rsidR="00D7432A" w:rsidRPr="004E7B57">
        <w:t>.</w:t>
      </w:r>
    </w:p>
    <w:p w14:paraId="2C2F28C9" w14:textId="3A7D933A" w:rsidR="00D7432A" w:rsidRPr="004E7B57" w:rsidRDefault="00813B51" w:rsidP="007A0B4F">
      <w:r w:rsidRPr="007A0B4F">
        <w:rPr>
          <w:b/>
        </w:rPr>
        <w:t>3.1</w:t>
      </w:r>
      <w:r w:rsidR="00085B38">
        <w:rPr>
          <w:b/>
        </w:rPr>
        <w:t>6</w:t>
      </w:r>
      <w:r w:rsidRPr="007A0B4F">
        <w:rPr>
          <w:b/>
        </w:rPr>
        <w:t xml:space="preserve">. </w:t>
      </w:r>
      <w:r w:rsidR="00D7432A" w:rsidRPr="007A0B4F">
        <w:rPr>
          <w:b/>
        </w:rPr>
        <w:t xml:space="preserve">«Ελάχιστο ποσοστό ανταγωνισμού στην </w:t>
      </w:r>
      <w:r w:rsidR="0051228D" w:rsidRPr="007A0B4F">
        <w:rPr>
          <w:b/>
        </w:rPr>
        <w:t>Α</w:t>
      </w:r>
      <w:r w:rsidR="00D7432A" w:rsidRPr="007A0B4F">
        <w:rPr>
          <w:b/>
        </w:rPr>
        <w:t xml:space="preserve">νταγωνιστική </w:t>
      </w:r>
      <w:r w:rsidR="0051228D" w:rsidRPr="007A0B4F">
        <w:rPr>
          <w:b/>
        </w:rPr>
        <w:t>Δ</w:t>
      </w:r>
      <w:r w:rsidR="00D7432A" w:rsidRPr="007A0B4F">
        <w:rPr>
          <w:b/>
        </w:rPr>
        <w:t xml:space="preserve">ιαδικασία»: </w:t>
      </w:r>
      <w:r w:rsidR="0051228D" w:rsidRPr="004E7B57">
        <w:t xml:space="preserve">Η ελάχιστη αποδεκτή τιμή του </w:t>
      </w:r>
      <w:r w:rsidR="008422F8" w:rsidRPr="004E7B57">
        <w:t xml:space="preserve">ποσοστού κατά το οποίο </w:t>
      </w:r>
      <w:r w:rsidR="00D7432A" w:rsidRPr="004E7B57">
        <w:t>η συνολική ισχύ</w:t>
      </w:r>
      <w:r w:rsidR="008422F8" w:rsidRPr="004E7B57">
        <w:t>ς</w:t>
      </w:r>
      <w:r w:rsidR="00D7432A" w:rsidRPr="004E7B57">
        <w:t xml:space="preserve"> των Σ</w:t>
      </w:r>
      <w:r w:rsidR="0051228D" w:rsidRPr="004E7B57">
        <w:t>.</w:t>
      </w:r>
      <w:r w:rsidR="00D7432A" w:rsidRPr="004E7B57">
        <w:t>Α</w:t>
      </w:r>
      <w:r w:rsidR="0051228D" w:rsidRPr="004E7B57">
        <w:t>.</w:t>
      </w:r>
      <w:r w:rsidR="00D7432A" w:rsidRPr="004E7B57">
        <w:t>Η</w:t>
      </w:r>
      <w:r w:rsidR="0051228D" w:rsidRPr="004E7B57">
        <w:t>.</w:t>
      </w:r>
      <w:r w:rsidR="00D7432A" w:rsidRPr="004E7B57">
        <w:t>Ε</w:t>
      </w:r>
      <w:r w:rsidR="0051228D" w:rsidRPr="004E7B57">
        <w:t>.</w:t>
      </w:r>
      <w:r w:rsidR="008422F8" w:rsidRPr="004E7B57">
        <w:t>,</w:t>
      </w:r>
      <w:r w:rsidR="00D7432A" w:rsidRPr="004E7B57">
        <w:t xml:space="preserve"> που συμμετέχουν σε κάθε </w:t>
      </w:r>
      <w:r w:rsidR="0051228D" w:rsidRPr="004E7B57">
        <w:lastRenderedPageBreak/>
        <w:t>Α</w:t>
      </w:r>
      <w:r w:rsidR="00D7432A" w:rsidRPr="004E7B57">
        <w:t xml:space="preserve">νταγωνιστική </w:t>
      </w:r>
      <w:r w:rsidR="0051228D" w:rsidRPr="004E7B57">
        <w:t>Δ</w:t>
      </w:r>
      <w:r w:rsidR="00D7432A" w:rsidRPr="004E7B57">
        <w:t>ιαδικασία</w:t>
      </w:r>
      <w:r w:rsidR="008422F8" w:rsidRPr="004E7B57">
        <w:t>, υπερβαίνει τη δημοπρατούμενη ισχύ στη Διαδικασία αυτή</w:t>
      </w:r>
      <w:r w:rsidR="00D7432A" w:rsidRPr="004E7B57">
        <w:t xml:space="preserve">. </w:t>
      </w:r>
    </w:p>
    <w:p w14:paraId="283C5FD1" w14:textId="35F5CD0C" w:rsidR="00D7432A" w:rsidRPr="004E7B57" w:rsidRDefault="00813B51" w:rsidP="007A0B4F">
      <w:r w:rsidRPr="007A0B4F">
        <w:rPr>
          <w:b/>
        </w:rPr>
        <w:t>3.1</w:t>
      </w:r>
      <w:r w:rsidR="00085B38">
        <w:rPr>
          <w:b/>
        </w:rPr>
        <w:t>7</w:t>
      </w:r>
      <w:r w:rsidRPr="007A0B4F">
        <w:rPr>
          <w:b/>
        </w:rPr>
        <w:t xml:space="preserve">. </w:t>
      </w:r>
      <w:r w:rsidR="00D7432A" w:rsidRPr="007A0B4F">
        <w:rPr>
          <w:b/>
        </w:rPr>
        <w:t xml:space="preserve">«Έναρξη εργασιών»: </w:t>
      </w:r>
      <w:r w:rsidR="00D7432A" w:rsidRPr="004E7B57">
        <w:t>Κατά την έννοια των Κατευθυντήριων Γραμμών τη</w:t>
      </w:r>
      <w:r w:rsidR="00D92FC1" w:rsidRPr="004E7B57">
        <w:t>ς</w:t>
      </w:r>
      <w:r w:rsidR="00D7432A" w:rsidRPr="004E7B57">
        <w:t xml:space="preserve"> Ευρωπαϊκής Επιτροπής για τις κρατικές ενισχύσεις στους τομείς του κλίματος, της προστασίας του περιβάλλοντος και της ενέργειας (2022/C 80/01, 18.02.2022),</w:t>
      </w:r>
      <w:r w:rsidR="00F2748D" w:rsidRPr="004E7B57">
        <w:t xml:space="preserve"> </w:t>
      </w:r>
      <w:r w:rsidR="00D7432A" w:rsidRPr="004E7B57">
        <w:t xml:space="preserve">η πρώτη σταθερή δέσμευση (για παράδειγμα, όσον αφορά την παραγγελία εξοπλισμού ή την έναρξη κατασκευής) που καθιστά την επένδυση μη αναστρέψιμη. Η αγορά γηπέδων και οι προπαρασκευαστικές εργασίες, όπως η απόκτηση αδειών και η διενέργεια προκαταρκτικών μελετών σκοπιμότητας, δεν θεωρούνται έναρξη εργασιών. Για τις εξαγορές, ως «έναρξη των εργασιών» νοείται η στιγμή απόκτησης των στοιχείων ενεργητικού που συνδέονται άμεσα με την </w:t>
      </w:r>
      <w:proofErr w:type="spellStart"/>
      <w:r w:rsidR="00D7432A" w:rsidRPr="004E7B57">
        <w:t>αποκτηθείσα</w:t>
      </w:r>
      <w:proofErr w:type="spellEnd"/>
      <w:r w:rsidR="00D7432A" w:rsidRPr="004E7B57">
        <w:t xml:space="preserve"> εγκατάσταση.</w:t>
      </w:r>
    </w:p>
    <w:p w14:paraId="2D46B297" w14:textId="1A1503B7" w:rsidR="000546D5" w:rsidRPr="004E7B57" w:rsidRDefault="00245906" w:rsidP="007A0B4F">
      <w:r w:rsidRPr="007A0B4F">
        <w:rPr>
          <w:b/>
        </w:rPr>
        <w:t>3.1</w:t>
      </w:r>
      <w:r w:rsidR="00085B38">
        <w:rPr>
          <w:b/>
        </w:rPr>
        <w:t>8</w:t>
      </w:r>
      <w:r w:rsidRPr="007A0B4F">
        <w:rPr>
          <w:b/>
        </w:rPr>
        <w:t xml:space="preserve">. </w:t>
      </w:r>
      <w:r w:rsidR="00856EDC" w:rsidRPr="007A0B4F">
        <w:rPr>
          <w:b/>
        </w:rPr>
        <w:t xml:space="preserve">«Ενδιαφερόμενος»: </w:t>
      </w:r>
      <w:r w:rsidR="00856EDC" w:rsidRPr="004E7B57">
        <w:t>Κάθε ενδιαφερόμενο φυσικό ή νομικό πρόσωπο, που δύναται και προτίθεται να λάβει μέρος στην παρούσα Ανταγωνιστική Διαδικασία, σύμφωνα με τις διατάξεις του Νόμου και της παρούσας Προκήρυξης.</w:t>
      </w:r>
    </w:p>
    <w:p w14:paraId="0C3E1EB4" w14:textId="22BB4729" w:rsidR="000546D5" w:rsidRPr="004E7B57" w:rsidRDefault="00245906" w:rsidP="007A0B4F">
      <w:bookmarkStart w:id="4" w:name="_Hlk132996236"/>
      <w:r w:rsidRPr="007A0B4F">
        <w:rPr>
          <w:b/>
        </w:rPr>
        <w:t>3.</w:t>
      </w:r>
      <w:r w:rsidR="00085B38">
        <w:rPr>
          <w:b/>
        </w:rPr>
        <w:t>19</w:t>
      </w:r>
      <w:r w:rsidRPr="007A0B4F">
        <w:rPr>
          <w:b/>
        </w:rPr>
        <w:t xml:space="preserve">. </w:t>
      </w:r>
      <w:r w:rsidR="00856EDC" w:rsidRPr="007A0B4F">
        <w:rPr>
          <w:b/>
        </w:rPr>
        <w:t xml:space="preserve">«Ενεργοποίηση της Σύνδεσης»: </w:t>
      </w:r>
      <w:r w:rsidR="00856EDC" w:rsidRPr="004E7B57">
        <w:t xml:space="preserve">Η </w:t>
      </w:r>
      <w:r w:rsidR="006E1573" w:rsidRPr="004E7B57">
        <w:t xml:space="preserve">ηλέκτριση του Σ.Α.Η.Ε. στο Ε.Σ.Μ.Η.Ε., σύμφωνα με το άρθρο 27 του </w:t>
      </w:r>
      <w:r w:rsidR="006A1FEE" w:rsidRPr="004E7B57">
        <w:t>ν</w:t>
      </w:r>
      <w:r w:rsidR="006E1573" w:rsidRPr="004E7B57">
        <w:t>. 4951/2022 (Α’ 129)</w:t>
      </w:r>
      <w:r w:rsidR="00856EDC" w:rsidRPr="004E7B57">
        <w:t>.</w:t>
      </w:r>
    </w:p>
    <w:bookmarkEnd w:id="4"/>
    <w:p w14:paraId="2D63F1F6" w14:textId="6DFD26E4" w:rsidR="00D7432A" w:rsidRPr="004E7B57" w:rsidRDefault="00245906" w:rsidP="007A0B4F">
      <w:r w:rsidRPr="007A0B4F">
        <w:rPr>
          <w:b/>
        </w:rPr>
        <w:t>3.2</w:t>
      </w:r>
      <w:r w:rsidR="00085B38">
        <w:rPr>
          <w:b/>
        </w:rPr>
        <w:t>0</w:t>
      </w:r>
      <w:r w:rsidRPr="007A0B4F">
        <w:rPr>
          <w:b/>
        </w:rPr>
        <w:t xml:space="preserve">. </w:t>
      </w:r>
      <w:r w:rsidR="00D7432A" w:rsidRPr="007A0B4F">
        <w:rPr>
          <w:b/>
        </w:rPr>
        <w:t>«Ενισχυόμενη Δραστηριότητα Σ</w:t>
      </w:r>
      <w:r w:rsidR="0051228D" w:rsidRPr="007A0B4F">
        <w:rPr>
          <w:b/>
        </w:rPr>
        <w:t>.</w:t>
      </w:r>
      <w:r w:rsidR="00D7432A" w:rsidRPr="007A0B4F">
        <w:rPr>
          <w:b/>
        </w:rPr>
        <w:t>Α</w:t>
      </w:r>
      <w:r w:rsidR="0051228D" w:rsidRPr="007A0B4F">
        <w:rPr>
          <w:b/>
        </w:rPr>
        <w:t>.</w:t>
      </w:r>
      <w:r w:rsidR="00D7432A" w:rsidRPr="007A0B4F">
        <w:rPr>
          <w:b/>
        </w:rPr>
        <w:t>Η</w:t>
      </w:r>
      <w:r w:rsidR="0051228D" w:rsidRPr="007A0B4F">
        <w:rPr>
          <w:b/>
        </w:rPr>
        <w:t>.</w:t>
      </w:r>
      <w:r w:rsidR="00D7432A" w:rsidRPr="007A0B4F">
        <w:rPr>
          <w:b/>
        </w:rPr>
        <w:t>Ε</w:t>
      </w:r>
      <w:r w:rsidR="0051228D" w:rsidRPr="007A0B4F">
        <w:rPr>
          <w:b/>
        </w:rPr>
        <w:t>.</w:t>
      </w:r>
      <w:r w:rsidR="00D7432A" w:rsidRPr="007A0B4F">
        <w:rPr>
          <w:b/>
        </w:rPr>
        <w:t xml:space="preserve">»: </w:t>
      </w:r>
      <w:r w:rsidR="00D7432A" w:rsidRPr="004E7B57">
        <w:t>Περιλαμβάνει την κατασκευή του Σ</w:t>
      </w:r>
      <w:r w:rsidR="0051228D" w:rsidRPr="004E7B57">
        <w:t>.</w:t>
      </w:r>
      <w:r w:rsidR="00D7432A" w:rsidRPr="004E7B57">
        <w:t>Α</w:t>
      </w:r>
      <w:r w:rsidR="0051228D" w:rsidRPr="004E7B57">
        <w:t>.</w:t>
      </w:r>
      <w:r w:rsidR="00D7432A" w:rsidRPr="004E7B57">
        <w:t>Η</w:t>
      </w:r>
      <w:r w:rsidR="0051228D" w:rsidRPr="004E7B57">
        <w:t>.</w:t>
      </w:r>
      <w:r w:rsidR="00D7432A" w:rsidRPr="004E7B57">
        <w:t>Ε</w:t>
      </w:r>
      <w:r w:rsidR="0051228D" w:rsidRPr="004E7B57">
        <w:t>.</w:t>
      </w:r>
      <w:r w:rsidR="00D7432A" w:rsidRPr="004E7B57">
        <w:t xml:space="preserve"> και την άσκηση της δραστηριότητας</w:t>
      </w:r>
      <w:r w:rsidR="00F2748D" w:rsidRPr="004E7B57">
        <w:t xml:space="preserve"> </w:t>
      </w:r>
      <w:r w:rsidR="00D7432A" w:rsidRPr="004E7B57">
        <w:t>αποθήκευσης ηλεκτρικής ενέργειας, όπως ορίζεται στην περ. (</w:t>
      </w:r>
      <w:proofErr w:type="spellStart"/>
      <w:r w:rsidR="00D7432A" w:rsidRPr="004E7B57">
        <w:t>λε</w:t>
      </w:r>
      <w:proofErr w:type="spellEnd"/>
      <w:r w:rsidR="00D7432A" w:rsidRPr="004E7B57">
        <w:t xml:space="preserve">) της παρ. 3 του άρθρου 2 του ν. 4001/2011, μέσω της συμμετοχής του στις </w:t>
      </w:r>
      <w:r w:rsidR="0051228D" w:rsidRPr="004E7B57">
        <w:t>Α</w:t>
      </w:r>
      <w:r w:rsidR="00D7432A" w:rsidRPr="004E7B57">
        <w:t>γορές ηλεκτρικής ενέργειας.</w:t>
      </w:r>
    </w:p>
    <w:p w14:paraId="7918D237" w14:textId="1B9AC4AA" w:rsidR="00D7432A" w:rsidRPr="004E7B57" w:rsidRDefault="00245906" w:rsidP="007A0B4F">
      <w:r w:rsidRPr="007A0B4F">
        <w:rPr>
          <w:b/>
          <w:bCs/>
        </w:rPr>
        <w:t>3.2</w:t>
      </w:r>
      <w:r w:rsidR="00085B38">
        <w:rPr>
          <w:b/>
          <w:bCs/>
        </w:rPr>
        <w:t>1</w:t>
      </w:r>
      <w:r w:rsidRPr="007A0B4F">
        <w:rPr>
          <w:b/>
          <w:bCs/>
        </w:rPr>
        <w:t xml:space="preserve">. </w:t>
      </w:r>
      <w:r w:rsidR="00D7432A" w:rsidRPr="007A0B4F">
        <w:rPr>
          <w:b/>
          <w:bCs/>
        </w:rPr>
        <w:t>«Ενισχυόμενος Σταθμός Αποθήκευσης Ηλεκτρικής Ενέργειας (</w:t>
      </w:r>
      <w:r w:rsidR="0051228D" w:rsidRPr="007A0B4F">
        <w:rPr>
          <w:b/>
          <w:bCs/>
        </w:rPr>
        <w:t>Σ.Α.Η.Ε.</w:t>
      </w:r>
      <w:r w:rsidR="00D7432A" w:rsidRPr="007A0B4F">
        <w:rPr>
          <w:b/>
          <w:bCs/>
        </w:rPr>
        <w:t xml:space="preserve">) ή Ενισχυόμενος </w:t>
      </w:r>
      <w:r w:rsidR="0051228D" w:rsidRPr="007A0B4F">
        <w:rPr>
          <w:b/>
          <w:bCs/>
        </w:rPr>
        <w:t>Σ.Α.Η.Ε.</w:t>
      </w:r>
      <w:r w:rsidR="00D7432A" w:rsidRPr="007A0B4F">
        <w:rPr>
          <w:b/>
          <w:bCs/>
        </w:rPr>
        <w:t>»:</w:t>
      </w:r>
      <w:r w:rsidR="00D7432A" w:rsidRPr="004E7B57">
        <w:t xml:space="preserve"> O </w:t>
      </w:r>
      <w:r w:rsidR="0051228D" w:rsidRPr="004E7B57">
        <w:t>Σ.Α.Η.Ε.</w:t>
      </w:r>
      <w:r w:rsidR="00D7432A" w:rsidRPr="004E7B57">
        <w:t>, ο οποίος εντάσσεται, βάσει της</w:t>
      </w:r>
      <w:r w:rsidR="00F2748D" w:rsidRPr="004E7B57">
        <w:t xml:space="preserve"> </w:t>
      </w:r>
      <w:r w:rsidR="00D7432A" w:rsidRPr="004E7B57">
        <w:t xml:space="preserve">Εγκριτικής Απόφασης της Ευρωπαϊκής Επιτροπής και δυνάμει της </w:t>
      </w:r>
      <w:r w:rsidR="00B75370" w:rsidRPr="004E7B57">
        <w:t xml:space="preserve">Υπουργικής Απόφασης </w:t>
      </w:r>
      <w:r w:rsidR="00D7432A" w:rsidRPr="004E7B57">
        <w:t xml:space="preserve">και της οικείας κατακυρωτικής απόφασης της </w:t>
      </w:r>
      <w:r w:rsidR="00CF21E9" w:rsidRPr="004E7B57">
        <w:t>Ρ.Α.Α.Ε.Υ.</w:t>
      </w:r>
      <w:r w:rsidR="00D7432A" w:rsidRPr="004E7B57">
        <w:t>, στο καθεστώς ενίσχυσης σταθμών αποθήκευσης ηλεκτρικής ενέργειας του άρθρου 143ΣΤ του ν. 4001/2011.</w:t>
      </w:r>
    </w:p>
    <w:p w14:paraId="2BD9D5C6" w14:textId="4D723214" w:rsidR="00D7432A" w:rsidRPr="004E7B57" w:rsidRDefault="00245906" w:rsidP="007A0B4F">
      <w:bookmarkStart w:id="5" w:name="_Hlk132996350"/>
      <w:r w:rsidRPr="007A0B4F">
        <w:rPr>
          <w:b/>
          <w:bCs/>
        </w:rPr>
        <w:t>3.2</w:t>
      </w:r>
      <w:r w:rsidR="00085B38">
        <w:rPr>
          <w:b/>
          <w:bCs/>
        </w:rPr>
        <w:t>2</w:t>
      </w:r>
      <w:r w:rsidRPr="007A0B4F">
        <w:rPr>
          <w:b/>
          <w:bCs/>
        </w:rPr>
        <w:t>.</w:t>
      </w:r>
      <w:r>
        <w:t xml:space="preserve"> </w:t>
      </w:r>
      <w:r w:rsidR="00D7432A" w:rsidRPr="004E7B57">
        <w:t>«</w:t>
      </w:r>
      <w:r w:rsidR="00D7432A" w:rsidRPr="007A0B4F">
        <w:rPr>
          <w:b/>
          <w:bCs/>
        </w:rPr>
        <w:t>Επενδυτική ενίσχυση</w:t>
      </w:r>
      <w:r w:rsidR="00D7432A" w:rsidRPr="004E7B57">
        <w:t>»:</w:t>
      </w:r>
      <w:r w:rsidR="00BB1AF9" w:rsidRPr="004E7B57">
        <w:t xml:space="preserve"> Ως προβλέπεται στην </w:t>
      </w:r>
      <w:proofErr w:type="spellStart"/>
      <w:r w:rsidR="00BB1AF9" w:rsidRPr="004E7B57">
        <w:t>υποπαρ</w:t>
      </w:r>
      <w:proofErr w:type="spellEnd"/>
      <w:r w:rsidR="00BB1AF9" w:rsidRPr="004E7B57">
        <w:t>. 2Γ της παρ. 2 του άρθρου 143ΣΤ του ν. 4001/2011.</w:t>
      </w:r>
    </w:p>
    <w:bookmarkEnd w:id="5"/>
    <w:p w14:paraId="462C9CAF" w14:textId="7F862F84" w:rsidR="000546D5" w:rsidRPr="004E7B57" w:rsidRDefault="00245906" w:rsidP="007A0B4F">
      <w:r w:rsidRPr="007A0B4F">
        <w:rPr>
          <w:b/>
        </w:rPr>
        <w:t>3.2</w:t>
      </w:r>
      <w:r w:rsidR="00085B38">
        <w:rPr>
          <w:b/>
        </w:rPr>
        <w:t>3</w:t>
      </w:r>
      <w:r w:rsidRPr="007A0B4F">
        <w:rPr>
          <w:b/>
        </w:rPr>
        <w:t xml:space="preserve">. </w:t>
      </w:r>
      <w:r w:rsidR="00856EDC" w:rsidRPr="007A0B4F">
        <w:rPr>
          <w:b/>
        </w:rPr>
        <w:t xml:space="preserve">«Επιλεγείς Συμμετέχων»: </w:t>
      </w:r>
      <w:r w:rsidR="00856EDC" w:rsidRPr="004E7B57">
        <w:t xml:space="preserve">Ο Συμμετέχων, ο οποίος επιλέγεται, μέσω της Ανταγωνιστικής Διαδικασίας, </w:t>
      </w:r>
      <w:r w:rsidR="00D7432A" w:rsidRPr="004E7B57">
        <w:t xml:space="preserve">και εντάσσεται σε καθεστώς στήριξης με τη μορφή Επενδυτικής και Λειτουργικής Ενίσχυσης, </w:t>
      </w:r>
      <w:r w:rsidR="00856EDC" w:rsidRPr="004E7B57">
        <w:t>υπό τους ειδικούς όρους, προϋποθέσεις και υποχρεώσεις τ</w:t>
      </w:r>
      <w:r w:rsidR="00973F83" w:rsidRPr="004E7B57">
        <w:t>ης</w:t>
      </w:r>
      <w:r w:rsidR="00856EDC" w:rsidRPr="004E7B57">
        <w:t xml:space="preserve"> </w:t>
      </w:r>
      <w:r w:rsidR="000D3DA8" w:rsidRPr="004E7B57">
        <w:t>Υ</w:t>
      </w:r>
      <w:r w:rsidR="00856EDC" w:rsidRPr="004E7B57">
        <w:t>πουργικ</w:t>
      </w:r>
      <w:r w:rsidR="00973F83" w:rsidRPr="004E7B57">
        <w:t>ής</w:t>
      </w:r>
      <w:r w:rsidR="00856EDC" w:rsidRPr="004E7B57">
        <w:t xml:space="preserve"> </w:t>
      </w:r>
      <w:r w:rsidR="000D3DA8" w:rsidRPr="004E7B57">
        <w:t>Α</w:t>
      </w:r>
      <w:r w:rsidR="00856EDC" w:rsidRPr="004E7B57">
        <w:t>π</w:t>
      </w:r>
      <w:r w:rsidR="00973F83" w:rsidRPr="004E7B57">
        <w:t>όφασης</w:t>
      </w:r>
      <w:r w:rsidR="002A4773" w:rsidRPr="004E7B57">
        <w:t xml:space="preserve"> </w:t>
      </w:r>
      <w:r w:rsidR="00856EDC" w:rsidRPr="004E7B57">
        <w:t>και της παρούσας Προκήρυξης.</w:t>
      </w:r>
    </w:p>
    <w:p w14:paraId="6E462F3E" w14:textId="0AC745B2" w:rsidR="00F86995" w:rsidRDefault="00245906" w:rsidP="007A0B4F">
      <w:r w:rsidRPr="007A0B4F">
        <w:rPr>
          <w:b/>
        </w:rPr>
        <w:t>3.2</w:t>
      </w:r>
      <w:r w:rsidR="00085B38">
        <w:rPr>
          <w:b/>
        </w:rPr>
        <w:t>4</w:t>
      </w:r>
      <w:r w:rsidRPr="007A0B4F">
        <w:rPr>
          <w:b/>
        </w:rPr>
        <w:t>.</w:t>
      </w:r>
      <w:r>
        <w:t xml:space="preserve"> </w:t>
      </w:r>
      <w:r w:rsidR="00D7432A" w:rsidRPr="004E7B57">
        <w:t>«</w:t>
      </w:r>
      <w:r w:rsidR="00D7432A" w:rsidRPr="007A0B4F">
        <w:rPr>
          <w:b/>
          <w:bCs/>
        </w:rPr>
        <w:t>Έσοδο Αναφοράς</w:t>
      </w:r>
      <w:r w:rsidR="00D7432A" w:rsidRPr="004E7B57">
        <w:t xml:space="preserve">»: Το αναγκαίο συνολικό ετήσιο έσοδο του </w:t>
      </w:r>
      <w:r w:rsidR="0051228D" w:rsidRPr="004E7B57">
        <w:t>Σ.Α.Η.Ε.</w:t>
      </w:r>
      <w:r w:rsidR="00D7432A" w:rsidRPr="004E7B57">
        <w:t>, το οποίο διασφαλίζει τη βιωσιμότητα της επένδυσης.</w:t>
      </w:r>
      <w:r w:rsidR="00BB1AF9" w:rsidRPr="004E7B57">
        <w:t xml:space="preserve"> Προσδιορίζεται από την </w:t>
      </w:r>
      <w:r w:rsidR="00374FE3">
        <w:t>Π</w:t>
      </w:r>
      <w:r w:rsidR="00374FE3" w:rsidRPr="004E7B57">
        <w:t xml:space="preserve">ροσφορά </w:t>
      </w:r>
      <w:r w:rsidR="00BB1AF9" w:rsidRPr="004E7B57">
        <w:t>του Κατόχου του Σ.Α.Η.Ε. στην Ανταγωνιστική Διαδικασία</w:t>
      </w:r>
      <w:r w:rsidR="002A4773" w:rsidRPr="004E7B57">
        <w:t xml:space="preserve"> </w:t>
      </w:r>
      <w:bookmarkStart w:id="6" w:name="_Hlk132996442"/>
      <w:r w:rsidR="002A4773" w:rsidRPr="004E7B57">
        <w:t>[ευρώ ανά μεγαβάτ ανά έτος (€/MW/έτος)]</w:t>
      </w:r>
      <w:bookmarkEnd w:id="6"/>
      <w:r w:rsidR="00BB1AF9" w:rsidRPr="004E7B57">
        <w:t>, στην οποία ο Σ.Α.Η.Ε. επελέγη προς χορήγηση ενίσχυσης.</w:t>
      </w:r>
    </w:p>
    <w:p w14:paraId="3C8034D6" w14:textId="5BCE0D99" w:rsidR="00FB2F9C" w:rsidRDefault="00374FE3" w:rsidP="007A0B4F">
      <w:r w:rsidRPr="007A0B4F">
        <w:rPr>
          <w:b/>
          <w:bCs/>
        </w:rPr>
        <w:t>3.2</w:t>
      </w:r>
      <w:r w:rsidR="00085B38">
        <w:rPr>
          <w:b/>
          <w:bCs/>
        </w:rPr>
        <w:t>5</w:t>
      </w:r>
      <w:r w:rsidRPr="007A0B4F">
        <w:rPr>
          <w:b/>
          <w:bCs/>
        </w:rPr>
        <w:t>.</w:t>
      </w:r>
      <w:r>
        <w:t xml:space="preserve"> </w:t>
      </w:r>
      <w:r w:rsidR="00FB2F9C">
        <w:t>«</w:t>
      </w:r>
      <w:r w:rsidR="00FB2F9C" w:rsidRPr="007A0B4F">
        <w:rPr>
          <w:b/>
          <w:bCs/>
        </w:rPr>
        <w:t xml:space="preserve">Ηλεκτρονική Εφαρμογή Ανταγωνιστικής Διαδικασίας Υποβολής Προσφορών ή Ηλεκτρονική Εφαρμογή»: </w:t>
      </w:r>
      <w:r w:rsidR="007A0B4F">
        <w:t>Η</w:t>
      </w:r>
      <w:r w:rsidR="00FB2F9C">
        <w:t xml:space="preserve"> ηλεκτρονική εφαρμογή που αποτελεί μέρος του</w:t>
      </w:r>
      <w:r w:rsidR="00F86995" w:rsidRPr="003F0DAE">
        <w:t xml:space="preserve"> </w:t>
      </w:r>
      <w:r w:rsidR="00F86995">
        <w:t>Ηλεκτρονικού Μητρώου της Ρ</w:t>
      </w:r>
      <w:r w:rsidR="007A0B4F">
        <w:t>.</w:t>
      </w:r>
      <w:r w:rsidR="00F86995">
        <w:t>Α</w:t>
      </w:r>
      <w:r w:rsidR="007A0B4F">
        <w:t>.</w:t>
      </w:r>
      <w:r w:rsidR="00F86995">
        <w:t>Α</w:t>
      </w:r>
      <w:r w:rsidR="007A0B4F">
        <w:t>.</w:t>
      </w:r>
      <w:r w:rsidR="00F86995">
        <w:t>Ε</w:t>
      </w:r>
      <w:r w:rsidR="007A0B4F">
        <w:t>.</w:t>
      </w:r>
      <w:r w:rsidR="00F86995">
        <w:t>Υ</w:t>
      </w:r>
      <w:r w:rsidR="007A0B4F">
        <w:t>.</w:t>
      </w:r>
      <w:r w:rsidR="00F86995">
        <w:t>, μέσω της οποίας</w:t>
      </w:r>
      <w:r w:rsidR="00FB2F9C" w:rsidRPr="00FB2F9C">
        <w:t xml:space="preserve"> γίνεται (α) εγγραφή στον ηλεκτρονικό τόπο της Ανταγωνιστικής Διαδικασίας από κάθε Ενδιαφερόμενο που επιθυμεί να λάβει μέρος στην Ανταγωνιστική Διαδικασία, (β) υποβολή της Αίτησης Συμμετοχής</w:t>
      </w:r>
      <w:r w:rsidR="00113DDC">
        <w:t xml:space="preserve">, </w:t>
      </w:r>
      <w:r w:rsidR="00FB2F9C" w:rsidRPr="00FB2F9C">
        <w:t>των δικαιολογητικών συμμετοχής και</w:t>
      </w:r>
      <w:r w:rsidR="00113DDC">
        <w:t xml:space="preserve"> της Προσφοράς</w:t>
      </w:r>
      <w:r w:rsidR="00FB2F9C" w:rsidRPr="00FB2F9C">
        <w:t>.</w:t>
      </w:r>
    </w:p>
    <w:p w14:paraId="6ECA767C" w14:textId="27CFD041" w:rsidR="00F86995" w:rsidRDefault="00374FE3" w:rsidP="007A0B4F">
      <w:r w:rsidRPr="007A0B4F">
        <w:rPr>
          <w:b/>
          <w:bCs/>
        </w:rPr>
        <w:t>3.2</w:t>
      </w:r>
      <w:r w:rsidR="00085B38">
        <w:rPr>
          <w:b/>
          <w:bCs/>
        </w:rPr>
        <w:t>6</w:t>
      </w:r>
      <w:r w:rsidRPr="007A0B4F">
        <w:rPr>
          <w:b/>
          <w:bCs/>
        </w:rPr>
        <w:t xml:space="preserve">. </w:t>
      </w:r>
      <w:r w:rsidR="00F86995" w:rsidRPr="007A0B4F">
        <w:rPr>
          <w:b/>
          <w:bCs/>
        </w:rPr>
        <w:t>«Ηλεκτρονικό Μητρώο»:</w:t>
      </w:r>
      <w:r w:rsidR="00F86995">
        <w:t xml:space="preserve"> Το ηλεκτρονικό μητρώο του άρθρου 3 </w:t>
      </w:r>
      <w:r w:rsidR="000C4104">
        <w:t xml:space="preserve">της υπ’ </w:t>
      </w:r>
      <w:proofErr w:type="spellStart"/>
      <w:r w:rsidR="000C4104">
        <w:t>αριθμ</w:t>
      </w:r>
      <w:proofErr w:type="spellEnd"/>
      <w:r w:rsidR="000C4104">
        <w:t>.</w:t>
      </w:r>
      <w:r w:rsidR="000C4104" w:rsidRPr="000C4104">
        <w:t xml:space="preserve"> ΥΠΕΝ/ΔΑΠΕΕΚ/114746/4230</w:t>
      </w:r>
      <w:r w:rsidR="000C4104">
        <w:t xml:space="preserve"> Υπουργικής Απόφασης «</w:t>
      </w:r>
      <w:r w:rsidR="000C4104" w:rsidRPr="007A0B4F">
        <w:rPr>
          <w:i/>
          <w:iCs/>
        </w:rPr>
        <w:t xml:space="preserve">Κανονισμός Βεβαιώσεων Παραγωγού Ηλεκτρικής Ενέργειας από ΑΠΕ και ΣΗΘΥΑ και Βεβαιώσεων Παραγωγού Ηλεκτρικής Ενέργειας Ειδικών Έργων Ανανεώσιμων Πηγών Ενέργειας (ΑΠΕ) και Συμπαραγωγή </w:t>
      </w:r>
      <w:proofErr w:type="spellStart"/>
      <w:r w:rsidR="000C4104" w:rsidRPr="007A0B4F">
        <w:rPr>
          <w:i/>
          <w:iCs/>
        </w:rPr>
        <w:t>Hλεκτρισμού</w:t>
      </w:r>
      <w:proofErr w:type="spellEnd"/>
      <w:r w:rsidR="000C4104" w:rsidRPr="007A0B4F">
        <w:rPr>
          <w:i/>
          <w:iCs/>
        </w:rPr>
        <w:t xml:space="preserve"> - Θερμότητας Υψηλής Απόδοσης (ΣΗΘΥΑ)</w:t>
      </w:r>
      <w:r w:rsidR="000C4104">
        <w:t>»</w:t>
      </w:r>
      <w:r w:rsidR="000C4104" w:rsidRPr="000C4104">
        <w:t xml:space="preserve"> (ΦΕΚ Β' 5291/01.12.2020)</w:t>
      </w:r>
      <w:r w:rsidR="00F86995">
        <w:t>.</w:t>
      </w:r>
    </w:p>
    <w:p w14:paraId="42B7F2A7" w14:textId="7C9A24BC" w:rsidR="00BB1AF9" w:rsidRPr="004E7B57" w:rsidRDefault="00245906" w:rsidP="007A0B4F">
      <w:r w:rsidRPr="007A0B4F">
        <w:rPr>
          <w:b/>
          <w:bCs/>
        </w:rPr>
        <w:t>3.2</w:t>
      </w:r>
      <w:r w:rsidR="00085B38">
        <w:rPr>
          <w:b/>
          <w:bCs/>
        </w:rPr>
        <w:t>7</w:t>
      </w:r>
      <w:r w:rsidRPr="007A0B4F">
        <w:rPr>
          <w:b/>
          <w:bCs/>
        </w:rPr>
        <w:t xml:space="preserve">. </w:t>
      </w:r>
      <w:r w:rsidR="00BB1AF9" w:rsidRPr="007A0B4F">
        <w:rPr>
          <w:b/>
          <w:bCs/>
        </w:rPr>
        <w:t>«Ισχύς Συμμετοχής και Χωρητικότητα Συμμετοχής στην Ανταγωνιστική Διαδικασία»</w:t>
      </w:r>
      <w:r w:rsidR="00BB1AF9" w:rsidRPr="004E7B57">
        <w:t xml:space="preserve">: Η μέγιστη ισχύς έγχυσης και η εγγυημένη χωρητικότητα που αναφέρεται στην Άδεια Αποθήκευσης ή η δηλούμενη ισχύς και χωρητικότητα του Σ.Α.Η.Ε., οι οποίες δεν μπορεί να είναι μεγαλύτερες των αναγραφόμενων στην οικεία Άδεια Αποθήκευσης και με βάση τις οποίες έκαστος Σ.Α.Η.Ε. συμμετέχει </w:t>
      </w:r>
      <w:r w:rsidR="00BB1AF9" w:rsidRPr="004E7B57">
        <w:lastRenderedPageBreak/>
        <w:t xml:space="preserve">στις Ανταγωνιστικές Διαδικασίες, με την υποβολή ειδικού αιτήματος τροποποίησης </w:t>
      </w:r>
      <w:r w:rsidR="00B75370" w:rsidRPr="004E7B57">
        <w:t xml:space="preserve">ή κατάτμησης </w:t>
      </w:r>
      <w:r w:rsidR="00BB1AF9" w:rsidRPr="004E7B57">
        <w:t>της σχετικής Άδειας Αποθήκευσης, το οποίο περιλαμβάνεται στην Αίτηση συμμετοχής στην Ανταγωνιστική Διαδικασία</w:t>
      </w:r>
      <w:r w:rsidR="00895676" w:rsidRPr="004E7B57">
        <w:t>. Η</w:t>
      </w:r>
      <w:r w:rsidR="00BB1AF9" w:rsidRPr="004E7B57">
        <w:t xml:space="preserve"> </w:t>
      </w:r>
      <w:r w:rsidR="00CF21E9" w:rsidRPr="004E7B57">
        <w:t>Ρ.Α.Α.Ε.Υ.</w:t>
      </w:r>
      <w:r w:rsidR="00BB1AF9" w:rsidRPr="004E7B57">
        <w:t xml:space="preserve"> </w:t>
      </w:r>
      <w:r w:rsidR="00895676" w:rsidRPr="004E7B57">
        <w:t xml:space="preserve">εξετάζει το αίτημα τροποποίησης ή κατάτμησης εφόσον ο Σ.Α.Η.Ε. επιλεγεί στην </w:t>
      </w:r>
      <w:r w:rsidR="00BB1AF9" w:rsidRPr="004E7B57">
        <w:t>Ανταγωνιστική Διαδικασία.</w:t>
      </w:r>
      <w:r w:rsidR="00F2748D" w:rsidRPr="004E7B57">
        <w:t xml:space="preserve"> </w:t>
      </w:r>
    </w:p>
    <w:p w14:paraId="16F6E04A" w14:textId="50D92A82" w:rsidR="00482AF2" w:rsidRPr="004E7B57" w:rsidRDefault="00245906" w:rsidP="007A0B4F">
      <w:r w:rsidRPr="007A0B4F">
        <w:rPr>
          <w:b/>
          <w:bCs/>
        </w:rPr>
        <w:t>3.2</w:t>
      </w:r>
      <w:r w:rsidR="00085B38">
        <w:rPr>
          <w:b/>
          <w:bCs/>
        </w:rPr>
        <w:t>8</w:t>
      </w:r>
      <w:r w:rsidRPr="007A0B4F">
        <w:rPr>
          <w:b/>
          <w:bCs/>
        </w:rPr>
        <w:t>.</w:t>
      </w:r>
      <w:r>
        <w:t xml:space="preserve"> </w:t>
      </w:r>
      <w:r w:rsidR="00482AF2" w:rsidRPr="004E7B57">
        <w:t>«</w:t>
      </w:r>
      <w:r w:rsidR="00482AF2" w:rsidRPr="007A0B4F">
        <w:rPr>
          <w:b/>
          <w:bCs/>
        </w:rPr>
        <w:t>Καθαρό Έσοδο Αγοράς</w:t>
      </w:r>
      <w:r w:rsidR="00482AF2" w:rsidRPr="004E7B57">
        <w:t xml:space="preserve">»: </w:t>
      </w:r>
      <w:r w:rsidR="00BB1AF9" w:rsidRPr="004E7B57">
        <w:t>Τα πάσης φύσεως ετήσια έσοδα από τις Αγορές ηλεκτρικής ενέργειας, από τα οποία αφαιρούνται οι δαπάνες</w:t>
      </w:r>
      <w:r w:rsidR="00895676" w:rsidRPr="004E7B57">
        <w:t xml:space="preserve">, </w:t>
      </w:r>
      <w:r w:rsidR="00BB1AF9" w:rsidRPr="004E7B57">
        <w:t>χρεώσεις</w:t>
      </w:r>
      <w:r w:rsidR="00895676" w:rsidRPr="004E7B57">
        <w:t xml:space="preserve">, κρατήσεις και λοιπά έξοδα </w:t>
      </w:r>
      <w:r w:rsidR="00BB1AF9" w:rsidRPr="004E7B57">
        <w:t>στο πλαίσιο της δραστηριοποίησ</w:t>
      </w:r>
      <w:r w:rsidR="00895676" w:rsidRPr="004E7B57">
        <w:t xml:space="preserve">ης αυτών </w:t>
      </w:r>
      <w:r w:rsidR="00BB1AF9" w:rsidRPr="004E7B57">
        <w:t xml:space="preserve"> στις Αγορές, εξαιρουμένων των χρεώσεων μη συμμόρφωσης</w:t>
      </w:r>
      <w:r w:rsidR="00895676" w:rsidRPr="004E7B57">
        <w:t xml:space="preserve">, που επιβάλλονται από τον Διαχειριστή του Ε.Σ.Μ.Η.Ε. και το Χρηματιστήριο Ενέργειας </w:t>
      </w:r>
      <w:r w:rsidR="00BB1AF9" w:rsidRPr="004E7B57">
        <w:t xml:space="preserve">και τυχόν προστίμων που επιβάλλονται από τη </w:t>
      </w:r>
      <w:r w:rsidR="00CF21E9" w:rsidRPr="004E7B57">
        <w:t>Ρ.Α.Α.Ε.Υ.</w:t>
      </w:r>
      <w:r w:rsidR="00BB1AF9" w:rsidRPr="004E7B57">
        <w:t xml:space="preserve"> για παράβαση νόμου ή </w:t>
      </w:r>
      <w:r w:rsidR="00895676" w:rsidRPr="004E7B57">
        <w:t xml:space="preserve">κανόνων </w:t>
      </w:r>
      <w:r w:rsidR="00BB1AF9" w:rsidRPr="004E7B57">
        <w:t xml:space="preserve">των Αγορών από τους Σ.Α.Η.Ε.. Το Καθαρό Έσοδο Αγοράς εκφράζεται σε ευρώ ανά μεγαβάτ (€/MW) </w:t>
      </w:r>
      <w:r w:rsidR="00895676" w:rsidRPr="004E7B57">
        <w:t>Μ</w:t>
      </w:r>
      <w:r w:rsidR="00BB1AF9" w:rsidRPr="004E7B57">
        <w:t xml:space="preserve">έγιστης </w:t>
      </w:r>
      <w:r w:rsidR="00DE454E" w:rsidRPr="004E7B57">
        <w:t>Ι</w:t>
      </w:r>
      <w:r w:rsidR="00BB1AF9" w:rsidRPr="004E7B57">
        <w:t>σχύος</w:t>
      </w:r>
      <w:r w:rsidR="00895676" w:rsidRPr="004E7B57">
        <w:t xml:space="preserve"> </w:t>
      </w:r>
      <w:r w:rsidR="00DE454E" w:rsidRPr="004E7B57">
        <w:t>Έ</w:t>
      </w:r>
      <w:r w:rsidR="00895676" w:rsidRPr="004E7B57">
        <w:t>γχυσης</w:t>
      </w:r>
      <w:r w:rsidR="00BB1AF9" w:rsidRPr="004E7B57">
        <w:t>.</w:t>
      </w:r>
    </w:p>
    <w:p w14:paraId="3EB4C1F5" w14:textId="5ED93AD8" w:rsidR="00482AF2" w:rsidRPr="004E7B57" w:rsidRDefault="00245906" w:rsidP="007A0B4F">
      <w:r w:rsidRPr="007A0B4F">
        <w:rPr>
          <w:b/>
          <w:bCs/>
        </w:rPr>
        <w:t>3.</w:t>
      </w:r>
      <w:r w:rsidR="00085B38">
        <w:rPr>
          <w:b/>
          <w:bCs/>
        </w:rPr>
        <w:t>29</w:t>
      </w:r>
      <w:r w:rsidRPr="007A0B4F">
        <w:rPr>
          <w:b/>
          <w:bCs/>
        </w:rPr>
        <w:t xml:space="preserve">. </w:t>
      </w:r>
      <w:r w:rsidR="00482AF2" w:rsidRPr="007A0B4F">
        <w:rPr>
          <w:b/>
          <w:bCs/>
        </w:rPr>
        <w:t>«Κανονισμοί»:</w:t>
      </w:r>
      <w:r w:rsidR="00482AF2" w:rsidRPr="004E7B57">
        <w:t xml:space="preserve"> Οι Κανονισμοί λειτουργίας των </w:t>
      </w:r>
      <w:r w:rsidR="00BB1AF9" w:rsidRPr="004E7B57">
        <w:t>Α</w:t>
      </w:r>
      <w:r w:rsidR="00482AF2" w:rsidRPr="004E7B57">
        <w:t>γορών ηλεκτρικής ενέργειας, σύμφωνα με τις διατάξεις του ν. 4425/2016.</w:t>
      </w:r>
    </w:p>
    <w:p w14:paraId="4B07CAD7" w14:textId="09BDF75C" w:rsidR="00482AF2" w:rsidRPr="004E7B57" w:rsidRDefault="00245906" w:rsidP="007A0B4F">
      <w:r w:rsidRPr="007A0B4F">
        <w:rPr>
          <w:b/>
          <w:bCs/>
        </w:rPr>
        <w:t>3.</w:t>
      </w:r>
      <w:r w:rsidR="00374FE3" w:rsidRPr="007A0B4F">
        <w:rPr>
          <w:b/>
          <w:bCs/>
        </w:rPr>
        <w:t>3</w:t>
      </w:r>
      <w:r w:rsidR="00085B38">
        <w:rPr>
          <w:b/>
          <w:bCs/>
        </w:rPr>
        <w:t>0</w:t>
      </w:r>
      <w:r w:rsidRPr="007A0B4F">
        <w:rPr>
          <w:b/>
          <w:bCs/>
        </w:rPr>
        <w:t>.</w:t>
      </w:r>
      <w:r>
        <w:t xml:space="preserve"> </w:t>
      </w:r>
      <w:r w:rsidR="00482AF2" w:rsidRPr="004E7B57">
        <w:t>«</w:t>
      </w:r>
      <w:r w:rsidR="00482AF2" w:rsidRPr="007A0B4F">
        <w:rPr>
          <w:b/>
          <w:bCs/>
        </w:rPr>
        <w:t>Κώδικες</w:t>
      </w:r>
      <w:r w:rsidR="00482AF2" w:rsidRPr="004E7B57">
        <w:t xml:space="preserve">»: Οι Κώδικες που διέπουν τη λειτουργία του </w:t>
      </w:r>
      <w:r w:rsidR="00DE454E" w:rsidRPr="004E7B57">
        <w:t>Διασυνδεδεμένου Συστήματος ηλεκτρικής ενέργειας</w:t>
      </w:r>
      <w:r w:rsidR="00482AF2" w:rsidRPr="004E7B57">
        <w:t xml:space="preserve">, καθώς και των αντίστοιχων </w:t>
      </w:r>
      <w:r w:rsidR="00BB1AF9" w:rsidRPr="004E7B57">
        <w:t>Α</w:t>
      </w:r>
      <w:r w:rsidR="00482AF2" w:rsidRPr="004E7B57">
        <w:t>γορών ηλεκτρικής ενέργειας, κατ’ εξουσιοδότηση των διατάξεων του ν. 4425/2016 και του ν. 4001/2011</w:t>
      </w:r>
      <w:r w:rsidR="00DE454E" w:rsidRPr="004E7B57">
        <w:t xml:space="preserve"> και ιδίως ο Κώδικας Διαχείρισης του Ε.Σ.Μ.Η.Ε. και ο Κώδικας Διαχειριστή Α.Π.Ε. και Εγγυήσεων Προέλευσης</w:t>
      </w:r>
      <w:r w:rsidR="00482AF2" w:rsidRPr="004E7B57">
        <w:t>.</w:t>
      </w:r>
    </w:p>
    <w:p w14:paraId="1FF4C39F" w14:textId="7648EF76" w:rsidR="001168ED" w:rsidRPr="004E7B57" w:rsidRDefault="00245906" w:rsidP="007A0B4F">
      <w:bookmarkStart w:id="7" w:name="_Hlk132996787"/>
      <w:r w:rsidRPr="007A0B4F">
        <w:rPr>
          <w:b/>
          <w:bCs/>
        </w:rPr>
        <w:t>3.3</w:t>
      </w:r>
      <w:r w:rsidR="00085B38">
        <w:rPr>
          <w:b/>
          <w:bCs/>
        </w:rPr>
        <w:t>1</w:t>
      </w:r>
      <w:r w:rsidRPr="007A0B4F">
        <w:rPr>
          <w:b/>
          <w:bCs/>
        </w:rPr>
        <w:t xml:space="preserve">. </w:t>
      </w:r>
      <w:r w:rsidR="001168ED" w:rsidRPr="007A0B4F">
        <w:rPr>
          <w:b/>
          <w:bCs/>
        </w:rPr>
        <w:t>«Λειτουργική Ενίσχυση»:</w:t>
      </w:r>
      <w:r w:rsidR="001168ED" w:rsidRPr="004E7B57">
        <w:t xml:space="preserve"> Ως προβλέπεται </w:t>
      </w:r>
      <w:r w:rsidR="00B31878" w:rsidRPr="004E7B57">
        <w:t xml:space="preserve">στο άρθρο 143 ΣΤ του ν. 4001/2011 και υπολογίζεται </w:t>
      </w:r>
      <w:r w:rsidR="001168ED" w:rsidRPr="004E7B57">
        <w:t>σύμφωνα με τ</w:t>
      </w:r>
      <w:r w:rsidR="00992F7A" w:rsidRPr="004E7B57">
        <w:t>α άρθρα 13 -14 της Υπουργικής Απόφασης</w:t>
      </w:r>
      <w:r>
        <w:t>.</w:t>
      </w:r>
      <w:r w:rsidR="00992F7A" w:rsidRPr="004E7B57">
        <w:t xml:space="preserve"> </w:t>
      </w:r>
    </w:p>
    <w:bookmarkEnd w:id="7"/>
    <w:p w14:paraId="31546B8E" w14:textId="2382003B" w:rsidR="00482AF2" w:rsidRPr="004E7B57" w:rsidRDefault="00245906" w:rsidP="007A0B4F">
      <w:r w:rsidRPr="007A0B4F">
        <w:rPr>
          <w:b/>
          <w:bCs/>
        </w:rPr>
        <w:t>3.3</w:t>
      </w:r>
      <w:r w:rsidR="00085B38">
        <w:rPr>
          <w:b/>
          <w:bCs/>
        </w:rPr>
        <w:t>2</w:t>
      </w:r>
      <w:r w:rsidRPr="007A0B4F">
        <w:rPr>
          <w:b/>
          <w:bCs/>
        </w:rPr>
        <w:t xml:space="preserve">. </w:t>
      </w:r>
      <w:r w:rsidR="00482AF2" w:rsidRPr="007A0B4F">
        <w:rPr>
          <w:b/>
          <w:bCs/>
        </w:rPr>
        <w:t xml:space="preserve">«Μέγιστη ισχύς απορρόφησης </w:t>
      </w:r>
      <w:r w:rsidR="0051228D" w:rsidRPr="007A0B4F">
        <w:rPr>
          <w:b/>
          <w:bCs/>
        </w:rPr>
        <w:t>Σ.Α.Η.Ε.</w:t>
      </w:r>
      <w:r w:rsidR="00482AF2" w:rsidRPr="007A0B4F">
        <w:rPr>
          <w:b/>
          <w:bCs/>
        </w:rPr>
        <w:t>»:</w:t>
      </w:r>
      <w:r w:rsidR="00482AF2" w:rsidRPr="004E7B57">
        <w:t xml:space="preserve"> Ως ορίζεται στην περ. (</w:t>
      </w:r>
      <w:proofErr w:type="spellStart"/>
      <w:r w:rsidR="00482AF2" w:rsidRPr="004E7B57">
        <w:t>λθ</w:t>
      </w:r>
      <w:proofErr w:type="spellEnd"/>
      <w:r w:rsidR="00482AF2" w:rsidRPr="004E7B57">
        <w:t xml:space="preserve">) της </w:t>
      </w:r>
      <w:r w:rsidR="009115E6" w:rsidRPr="004E7B57">
        <w:t>παρ</w:t>
      </w:r>
      <w:r w:rsidR="00482AF2" w:rsidRPr="004E7B57">
        <w:t xml:space="preserve">. 3 του άρθρου 2 του </w:t>
      </w:r>
      <w:r w:rsidR="000A3750" w:rsidRPr="004E7B57">
        <w:t>ν</w:t>
      </w:r>
      <w:r w:rsidR="00482AF2" w:rsidRPr="004E7B57">
        <w:t>. 4001/2011.</w:t>
      </w:r>
    </w:p>
    <w:p w14:paraId="0EAEF364" w14:textId="398CF000" w:rsidR="00482AF2" w:rsidRPr="004E7B57" w:rsidRDefault="00245906" w:rsidP="007A0B4F">
      <w:r w:rsidRPr="007A0B4F">
        <w:rPr>
          <w:b/>
          <w:bCs/>
        </w:rPr>
        <w:t>3.3</w:t>
      </w:r>
      <w:r w:rsidR="00085B38">
        <w:rPr>
          <w:b/>
          <w:bCs/>
        </w:rPr>
        <w:t>3</w:t>
      </w:r>
      <w:r w:rsidRPr="007A0B4F">
        <w:rPr>
          <w:b/>
          <w:bCs/>
        </w:rPr>
        <w:t>.</w:t>
      </w:r>
      <w:r>
        <w:t xml:space="preserve"> </w:t>
      </w:r>
      <w:r w:rsidR="00482AF2" w:rsidRPr="004E7B57">
        <w:t>«</w:t>
      </w:r>
      <w:r w:rsidR="00482AF2" w:rsidRPr="007A0B4F">
        <w:rPr>
          <w:b/>
          <w:bCs/>
        </w:rPr>
        <w:t xml:space="preserve">Μέγιστη ισχύς έγχυσης </w:t>
      </w:r>
      <w:r w:rsidR="0051228D" w:rsidRPr="007A0B4F">
        <w:rPr>
          <w:b/>
          <w:bCs/>
        </w:rPr>
        <w:t>Σ.Α.Η.Ε.</w:t>
      </w:r>
      <w:r w:rsidR="00482AF2" w:rsidRPr="007A0B4F">
        <w:rPr>
          <w:b/>
          <w:bCs/>
        </w:rPr>
        <w:t>»:</w:t>
      </w:r>
      <w:r w:rsidR="00482AF2" w:rsidRPr="004E7B57">
        <w:t xml:space="preserve"> Ως ορίζεται στην περ. (</w:t>
      </w:r>
      <w:proofErr w:type="spellStart"/>
      <w:r w:rsidR="00482AF2" w:rsidRPr="004E7B57">
        <w:t>λι</w:t>
      </w:r>
      <w:proofErr w:type="spellEnd"/>
      <w:r w:rsidR="00482AF2" w:rsidRPr="004E7B57">
        <w:t>) της παρ. 3 του άρθρου 2 του ν. 4001/2011.</w:t>
      </w:r>
    </w:p>
    <w:p w14:paraId="68BBFDC5" w14:textId="0A1840ED" w:rsidR="00482AF2" w:rsidRPr="004E7B57" w:rsidRDefault="00245906" w:rsidP="007A0B4F">
      <w:r w:rsidRPr="007A0B4F">
        <w:rPr>
          <w:b/>
          <w:bCs/>
        </w:rPr>
        <w:t>3.3</w:t>
      </w:r>
      <w:r w:rsidR="00085B38">
        <w:rPr>
          <w:b/>
          <w:bCs/>
        </w:rPr>
        <w:t>4</w:t>
      </w:r>
      <w:r w:rsidRPr="007A0B4F">
        <w:rPr>
          <w:b/>
          <w:bCs/>
        </w:rPr>
        <w:t>.</w:t>
      </w:r>
      <w:r w:rsidR="007A0B4F">
        <w:rPr>
          <w:b/>
          <w:bCs/>
        </w:rPr>
        <w:t xml:space="preserve"> </w:t>
      </w:r>
      <w:r w:rsidR="00482AF2" w:rsidRPr="007A0B4F">
        <w:rPr>
          <w:b/>
          <w:bCs/>
        </w:rPr>
        <w:t xml:space="preserve">«Μεθοδολογία Ετήσιας Ενίσχυσης </w:t>
      </w:r>
      <w:r w:rsidR="0051228D" w:rsidRPr="007A0B4F">
        <w:rPr>
          <w:b/>
          <w:bCs/>
        </w:rPr>
        <w:t>Σ.Α.Η.Ε.</w:t>
      </w:r>
      <w:r w:rsidR="00482AF2" w:rsidRPr="007A0B4F">
        <w:rPr>
          <w:b/>
          <w:bCs/>
        </w:rPr>
        <w:t>»:</w:t>
      </w:r>
      <w:r w:rsidR="00482AF2" w:rsidRPr="004E7B57">
        <w:t xml:space="preserve"> Η Μεθοδολογία υπολογισμού </w:t>
      </w:r>
      <w:r w:rsidR="00DE454E" w:rsidRPr="004E7B57">
        <w:t xml:space="preserve">της </w:t>
      </w:r>
      <w:r w:rsidR="00482AF2" w:rsidRPr="004E7B57">
        <w:t xml:space="preserve"> απαιτούμεν</w:t>
      </w:r>
      <w:r w:rsidR="00DE454E" w:rsidRPr="004E7B57">
        <w:t>ης</w:t>
      </w:r>
      <w:r w:rsidR="00482AF2" w:rsidRPr="004E7B57">
        <w:t xml:space="preserve"> </w:t>
      </w:r>
      <w:r w:rsidR="00DE454E" w:rsidRPr="004E7B57">
        <w:t xml:space="preserve">ενίσχυσης του </w:t>
      </w:r>
      <w:r w:rsidR="00482AF2" w:rsidRPr="004E7B57">
        <w:t xml:space="preserve">Ενισχυόμενου </w:t>
      </w:r>
      <w:r w:rsidR="0051228D" w:rsidRPr="004E7B57">
        <w:t>Σ.Α.Η.Ε.</w:t>
      </w:r>
      <w:r w:rsidR="00482AF2" w:rsidRPr="004E7B57">
        <w:t xml:space="preserve">, την οποία </w:t>
      </w:r>
      <w:r w:rsidR="00DE454E" w:rsidRPr="004E7B57">
        <w:t xml:space="preserve"> καθορίζει </w:t>
      </w:r>
      <w:r w:rsidR="00482AF2" w:rsidRPr="004E7B57">
        <w:t xml:space="preserve">και εφαρμόζει περιοδικώς η </w:t>
      </w:r>
      <w:r w:rsidR="00CF21E9" w:rsidRPr="004E7B57">
        <w:t>Ρ.Α.Α.Ε.Υ.</w:t>
      </w:r>
      <w:r w:rsidR="00482AF2" w:rsidRPr="004E7B57">
        <w:t xml:space="preserve">, σύμφωνα με τα προβλεπόμενα </w:t>
      </w:r>
      <w:r w:rsidR="00DE454E" w:rsidRPr="004E7B57">
        <w:t xml:space="preserve">στις διατάξεις των παρ. 5 και 6 του άρθρου 143ΣΤ του ν. 4001/2011, στην  Υπουργική Απόφαση και </w:t>
      </w:r>
      <w:r w:rsidR="00482AF2" w:rsidRPr="004E7B57">
        <w:t xml:space="preserve">απόφαση της </w:t>
      </w:r>
      <w:r w:rsidR="00CF21E9" w:rsidRPr="004E7B57">
        <w:t>Ρ.Α.Α.Ε.Υ.</w:t>
      </w:r>
      <w:r w:rsidR="001E03B9" w:rsidRPr="004E7B57">
        <w:t xml:space="preserve"> </w:t>
      </w:r>
      <w:r w:rsidR="00DE454E" w:rsidRPr="004E7B57">
        <w:t>με την οποία εγκρίνεται η μεθοδολογία αυτή</w:t>
      </w:r>
      <w:r w:rsidR="00482AF2" w:rsidRPr="004E7B57">
        <w:t>.</w:t>
      </w:r>
    </w:p>
    <w:p w14:paraId="5C12A72B" w14:textId="2EB0F3CF" w:rsidR="00DE454E" w:rsidRPr="004E7B57" w:rsidRDefault="00245906" w:rsidP="007A0B4F">
      <w:r w:rsidRPr="007A0B4F">
        <w:rPr>
          <w:b/>
          <w:bCs/>
        </w:rPr>
        <w:t>3.3</w:t>
      </w:r>
      <w:r w:rsidR="00085B38">
        <w:rPr>
          <w:b/>
          <w:bCs/>
        </w:rPr>
        <w:t>5</w:t>
      </w:r>
      <w:r w:rsidRPr="007A0B4F">
        <w:rPr>
          <w:b/>
          <w:bCs/>
        </w:rPr>
        <w:t xml:space="preserve">. </w:t>
      </w:r>
      <w:r w:rsidR="00DE454E" w:rsidRPr="007A0B4F">
        <w:rPr>
          <w:b/>
          <w:bCs/>
        </w:rPr>
        <w:t xml:space="preserve">«Μητρώο σταθμών Α.Π.Ε. και ΣΗΘΥΑ»: </w:t>
      </w:r>
      <w:r w:rsidR="00DE454E" w:rsidRPr="004E7B57">
        <w:t xml:space="preserve">Το Μητρώο σταθμών Α.Π.Ε. και ΣΗΘΥΑ που </w:t>
      </w:r>
      <w:bookmarkStart w:id="8" w:name="_Hlk134809610"/>
      <w:r w:rsidR="00DE454E" w:rsidRPr="004E7B57">
        <w:t>τηρείται από τον Διαχειριστή Α.Π.Ε. και Εγγυήσεων Προέλευσης</w:t>
      </w:r>
      <w:bookmarkEnd w:id="8"/>
      <w:r w:rsidR="00DE454E" w:rsidRPr="004E7B57">
        <w:t>, σύμφωνα με την παρ. 6 του άρθρου 12Α του ν. 4414/2016.</w:t>
      </w:r>
    </w:p>
    <w:p w14:paraId="245A7F81" w14:textId="0226D9C5" w:rsidR="005F4563" w:rsidRPr="004E7B57" w:rsidRDefault="00245906" w:rsidP="007A0B4F">
      <w:r w:rsidRPr="007A0B4F">
        <w:rPr>
          <w:b/>
          <w:bCs/>
        </w:rPr>
        <w:t>3.3</w:t>
      </w:r>
      <w:r w:rsidR="00085B38">
        <w:rPr>
          <w:b/>
          <w:bCs/>
        </w:rPr>
        <w:t>6</w:t>
      </w:r>
      <w:r w:rsidRPr="007A0B4F">
        <w:rPr>
          <w:b/>
          <w:bCs/>
        </w:rPr>
        <w:t xml:space="preserve">. </w:t>
      </w:r>
      <w:r w:rsidR="005F4563" w:rsidRPr="007A0B4F">
        <w:rPr>
          <w:b/>
          <w:bCs/>
        </w:rPr>
        <w:t xml:space="preserve">«Μητρώο Φορέων Ελέγχου, Επιθεώρησης και Επαλήθευσης Σ.Α.Η.Ε.» : </w:t>
      </w:r>
      <w:r w:rsidR="005F4563" w:rsidRPr="004E7B57">
        <w:t>Το Μητρώο που προβλέπεται και τηρείται από τον Διαχειριστή Α.Π.Ε. και Εγγυήσεων Προέλευσης, σύμφωνα με τις παρ. 11-14 του άρθρου 8 της Υπουργικής Απόφασης, της παρούσας Προκήρυξης και  του Κώδικα του Διαχειριστή Α.Π.Ε. και Εγγυήσεων Προέλευσης.</w:t>
      </w:r>
    </w:p>
    <w:p w14:paraId="0234916B" w14:textId="268B2BD5" w:rsidR="00482AF2" w:rsidRPr="004E7B57" w:rsidRDefault="00245906" w:rsidP="007A0B4F">
      <w:r w:rsidRPr="007A0B4F">
        <w:rPr>
          <w:b/>
          <w:bCs/>
        </w:rPr>
        <w:t>3.3</w:t>
      </w:r>
      <w:r w:rsidR="00085B38">
        <w:rPr>
          <w:b/>
          <w:bCs/>
        </w:rPr>
        <w:t>7</w:t>
      </w:r>
      <w:r w:rsidRPr="007A0B4F">
        <w:rPr>
          <w:b/>
          <w:bCs/>
        </w:rPr>
        <w:t xml:space="preserve">. </w:t>
      </w:r>
      <w:r w:rsidR="00482AF2" w:rsidRPr="007A0B4F">
        <w:rPr>
          <w:b/>
          <w:bCs/>
        </w:rPr>
        <w:t xml:space="preserve">«Μηχανισμός Κινήτρων Μεθοδολογίας Ετήσιας Ενίσχυσης </w:t>
      </w:r>
      <w:r w:rsidR="0051228D" w:rsidRPr="007A0B4F">
        <w:rPr>
          <w:b/>
          <w:bCs/>
        </w:rPr>
        <w:t>Σ.Α.Η.Ε.</w:t>
      </w:r>
      <w:r w:rsidR="00482AF2" w:rsidRPr="004E7B57">
        <w:t xml:space="preserve">»: Ο μηχανισμός κινήτρων προς τον κάτοχο του Ενισχυόμενου </w:t>
      </w:r>
      <w:r w:rsidR="0051228D" w:rsidRPr="004E7B57">
        <w:t>Σ.Α.Η.Ε.</w:t>
      </w:r>
      <w:r w:rsidR="00482AF2" w:rsidRPr="004E7B57">
        <w:t xml:space="preserve"> που περιλαμβάνεται στη Μεθοδολογία Ετήσιας Ενίσχυσης </w:t>
      </w:r>
      <w:r w:rsidR="0051228D" w:rsidRPr="004E7B57">
        <w:t>Σ.Α.Η.Ε.</w:t>
      </w:r>
      <w:r w:rsidR="00482AF2" w:rsidRPr="004E7B57">
        <w:t xml:space="preserve"> για την αποδοτική λειτουργία και δραστηριοποίηση του </w:t>
      </w:r>
      <w:r w:rsidR="0051228D" w:rsidRPr="004E7B57">
        <w:t>Σ.Α.Η.Ε.</w:t>
      </w:r>
      <w:r w:rsidR="00482AF2" w:rsidRPr="004E7B57">
        <w:t xml:space="preserve"> στις αγορές ηλεκτρικής ενέργειας, σύμφωνα με τα άρθρα 1</w:t>
      </w:r>
      <w:r w:rsidR="00BB1AF9" w:rsidRPr="004E7B57">
        <w:t>3</w:t>
      </w:r>
      <w:r w:rsidR="00482AF2" w:rsidRPr="004E7B57">
        <w:t xml:space="preserve"> και 1</w:t>
      </w:r>
      <w:r w:rsidR="00BB1AF9" w:rsidRPr="004E7B57">
        <w:t>4</w:t>
      </w:r>
      <w:r w:rsidR="00482AF2" w:rsidRPr="004E7B57">
        <w:t xml:space="preserve"> της Υπουργικής Απόφασης.</w:t>
      </w:r>
    </w:p>
    <w:p w14:paraId="6E761428" w14:textId="510AC01F" w:rsidR="000546D5" w:rsidRPr="004E7B57" w:rsidRDefault="00245906" w:rsidP="007A0B4F">
      <w:r w:rsidRPr="007A0B4F">
        <w:rPr>
          <w:b/>
        </w:rPr>
        <w:t>3.3</w:t>
      </w:r>
      <w:r w:rsidR="00085B38">
        <w:rPr>
          <w:b/>
        </w:rPr>
        <w:t>8</w:t>
      </w:r>
      <w:r w:rsidRPr="007A0B4F">
        <w:rPr>
          <w:b/>
        </w:rPr>
        <w:t>.</w:t>
      </w:r>
      <w:r w:rsidR="00856EDC" w:rsidRPr="007A0B4F">
        <w:rPr>
          <w:b/>
        </w:rPr>
        <w:t>«Οριστικός Κατάλογος Επιλεγέ</w:t>
      </w:r>
      <w:r w:rsidR="00DE454E" w:rsidRPr="007A0B4F">
        <w:rPr>
          <w:b/>
        </w:rPr>
        <w:t>ντων</w:t>
      </w:r>
      <w:r w:rsidR="00690BA9" w:rsidRPr="007A0B4F">
        <w:rPr>
          <w:b/>
        </w:rPr>
        <w:t>,</w:t>
      </w:r>
      <w:r w:rsidR="00DE454E" w:rsidRPr="007A0B4F">
        <w:rPr>
          <w:b/>
        </w:rPr>
        <w:t xml:space="preserve"> </w:t>
      </w:r>
      <w:r w:rsidR="00856EDC" w:rsidRPr="007A0B4F">
        <w:rPr>
          <w:b/>
        </w:rPr>
        <w:t>Αποκλεισθέντων</w:t>
      </w:r>
      <w:r w:rsidR="00DE454E" w:rsidRPr="007A0B4F">
        <w:rPr>
          <w:b/>
        </w:rPr>
        <w:t xml:space="preserve"> και Επιλαχόντων</w:t>
      </w:r>
      <w:r w:rsidR="00BB0225" w:rsidRPr="007A0B4F">
        <w:rPr>
          <w:b/>
        </w:rPr>
        <w:t xml:space="preserve"> Συμμετεχόντων</w:t>
      </w:r>
      <w:r w:rsidR="00856EDC" w:rsidRPr="007A0B4F">
        <w:rPr>
          <w:b/>
        </w:rPr>
        <w:t xml:space="preserve">»: </w:t>
      </w:r>
      <w:r w:rsidR="00856EDC" w:rsidRPr="004E7B57">
        <w:t xml:space="preserve">Ο κατάλογος που καταρτίζεται με απόφαση της </w:t>
      </w:r>
      <w:r w:rsidR="00CF21E9" w:rsidRPr="004E7B57">
        <w:t>Ρ.Α.Α.Ε.Υ.</w:t>
      </w:r>
      <w:r w:rsidR="00856EDC" w:rsidRPr="004E7B57">
        <w:t xml:space="preserve"> μετά την αξιολόγηση των τυχόν υποβληθεισών ενστάσεων και περιλαμβάνει το</w:t>
      </w:r>
      <w:r w:rsidR="00BB1AF9" w:rsidRPr="004E7B57">
        <w:t>υς</w:t>
      </w:r>
      <w:r w:rsidR="00856EDC" w:rsidRPr="004E7B57">
        <w:t xml:space="preserve"> Επιλεγέντ</w:t>
      </w:r>
      <w:r w:rsidR="00482AF2" w:rsidRPr="004E7B57">
        <w:t>ες</w:t>
      </w:r>
      <w:r w:rsidR="00DE454E" w:rsidRPr="004E7B57">
        <w:t xml:space="preserve">, </w:t>
      </w:r>
      <w:r w:rsidR="00856EDC" w:rsidRPr="004E7B57">
        <w:t xml:space="preserve">Αποκλεισθέντες </w:t>
      </w:r>
      <w:r w:rsidR="00DE454E" w:rsidRPr="004E7B57">
        <w:t xml:space="preserve">και Επιλαχόντες </w:t>
      </w:r>
      <w:r w:rsidR="00856EDC" w:rsidRPr="004E7B57">
        <w:t xml:space="preserve">Συμμετέχοντες, σύμφωνα με </w:t>
      </w:r>
      <w:r w:rsidR="00856EDC" w:rsidRPr="00E3119B">
        <w:t xml:space="preserve">το άρθρο </w:t>
      </w:r>
      <w:r w:rsidR="00374FE3" w:rsidRPr="00E3119B">
        <w:t>1</w:t>
      </w:r>
      <w:r w:rsidR="007A0B4F" w:rsidRPr="00E3119B">
        <w:t>2</w:t>
      </w:r>
      <w:r w:rsidR="00856EDC" w:rsidRPr="00E3119B">
        <w:t>.</w:t>
      </w:r>
    </w:p>
    <w:p w14:paraId="599E8563" w14:textId="42D63BDB" w:rsidR="00BB1AF9" w:rsidRPr="004E7B57" w:rsidRDefault="00245906" w:rsidP="007A0B4F">
      <w:r w:rsidRPr="007A0B4F">
        <w:rPr>
          <w:b/>
          <w:bCs/>
        </w:rPr>
        <w:t>3.</w:t>
      </w:r>
      <w:r w:rsidR="00085B38">
        <w:rPr>
          <w:b/>
          <w:bCs/>
        </w:rPr>
        <w:t>39</w:t>
      </w:r>
      <w:r w:rsidRPr="007A0B4F">
        <w:rPr>
          <w:b/>
          <w:bCs/>
        </w:rPr>
        <w:t>.</w:t>
      </w:r>
      <w:r>
        <w:t xml:space="preserve"> </w:t>
      </w:r>
      <w:r w:rsidR="00B678CB" w:rsidRPr="004E7B57">
        <w:t>«</w:t>
      </w:r>
      <w:r w:rsidR="00BB1AF9" w:rsidRPr="007A0B4F">
        <w:rPr>
          <w:b/>
          <w:bCs/>
        </w:rPr>
        <w:t>Περίοδος Ενίσχυσης Σ.Α.Η.Ε. ή Περίοδος Ενίσχυσης</w:t>
      </w:r>
      <w:r w:rsidR="00BB1AF9" w:rsidRPr="004E7B57">
        <w:t>:</w:t>
      </w:r>
      <w:r w:rsidR="00B678CB" w:rsidRPr="004E7B57">
        <w:t>»</w:t>
      </w:r>
      <w:r w:rsidR="00BB1AF9" w:rsidRPr="004E7B57">
        <w:t xml:space="preserve"> Η προκαθορισμένη συνολική χρονική διάρκεια κατά την οποία παρέχεται η εγκεκριμένη ενίσχυση στον Σ.Α.Η.Ε., σύμφωνα με τις διατάξεις της περ. α της </w:t>
      </w:r>
      <w:proofErr w:type="spellStart"/>
      <w:r w:rsidR="00BB1AF9" w:rsidRPr="004E7B57">
        <w:t>υποπαρ</w:t>
      </w:r>
      <w:proofErr w:type="spellEnd"/>
      <w:r w:rsidR="00BB1AF9" w:rsidRPr="004E7B57">
        <w:t>. 2A της παρ. 2 του άρθρου 143ΣΤ του ν. 4001/2011 και η οποία ειδικότερα καθορίζεται στο άρθρο 1</w:t>
      </w:r>
      <w:r w:rsidR="00B678CB" w:rsidRPr="004E7B57">
        <w:t>2 της Υπουργικής Απόφασης</w:t>
      </w:r>
      <w:r w:rsidR="008C6378" w:rsidRPr="004E7B57">
        <w:t xml:space="preserve"> </w:t>
      </w:r>
      <w:r w:rsidR="001E03B9" w:rsidRPr="004E7B57">
        <w:t>σ</w:t>
      </w:r>
      <w:r w:rsidR="008C6378" w:rsidRPr="004E7B57">
        <w:t>ε 10 έτη</w:t>
      </w:r>
      <w:r w:rsidR="00535194" w:rsidRPr="004E7B57">
        <w:t xml:space="preserve">. Η Περίοδος Ενίσχυσης εκκινεί από την έκδοση της άδειας λειτουργίας των Σ.Α.Η.Ε., η οποία αποτελεί προϋπόθεση για την </w:t>
      </w:r>
      <w:r w:rsidR="00535194" w:rsidRPr="004E7B57">
        <w:lastRenderedPageBreak/>
        <w:t>έναρξη καταβολής της λειτουργικής ενίσχυσης.</w:t>
      </w:r>
    </w:p>
    <w:p w14:paraId="0A57F92A" w14:textId="71DD28D8" w:rsidR="003B1E7E" w:rsidRPr="004E7B57" w:rsidRDefault="00CD3E01" w:rsidP="007A0B4F">
      <w:r w:rsidRPr="007A0B4F">
        <w:rPr>
          <w:b/>
          <w:bCs/>
        </w:rPr>
        <w:t>3.</w:t>
      </w:r>
      <w:r w:rsidR="007A0B4F">
        <w:rPr>
          <w:b/>
          <w:bCs/>
        </w:rPr>
        <w:t>4</w:t>
      </w:r>
      <w:r w:rsidR="00085B38">
        <w:rPr>
          <w:b/>
          <w:bCs/>
        </w:rPr>
        <w:t>0</w:t>
      </w:r>
      <w:r>
        <w:t xml:space="preserve">. </w:t>
      </w:r>
      <w:r w:rsidR="003B1E7E" w:rsidRPr="004E7B57">
        <w:t>«</w:t>
      </w:r>
      <w:r w:rsidR="003B1E7E" w:rsidRPr="007A0B4F">
        <w:rPr>
          <w:b/>
          <w:bCs/>
        </w:rPr>
        <w:t>Περιοχές του Προγράμματος Δίκαιης Αναπτυξιακής Μετάβασης (Περιοχές Π.Δ.Α.Μ.)»</w:t>
      </w:r>
      <w:r w:rsidR="003B1E7E" w:rsidRPr="004E7B57">
        <w:t>: Πρόκειται για τις ακόλουθες περιοχές παρέμβασης του Π.Δ.Α.Μ. της Ηπειρωτικής Ελλάδας: (α) Περιφέρεια Δυτικής Μακεδονίας, (β) Δήμος Μεγαλόπολης, (γ) Δήμος Γορτυνίας, (δ) Δήμος Τρίπολης, (ε) Δήμος Οιχαλίας.</w:t>
      </w:r>
    </w:p>
    <w:p w14:paraId="14B609A3" w14:textId="594E4E94" w:rsidR="000546D5" w:rsidRPr="004E7B57" w:rsidRDefault="00CD3E01" w:rsidP="007A0B4F">
      <w:r w:rsidRPr="007A0B4F">
        <w:rPr>
          <w:b/>
        </w:rPr>
        <w:t>3.4</w:t>
      </w:r>
      <w:r w:rsidR="00085B38">
        <w:rPr>
          <w:b/>
        </w:rPr>
        <w:t>1</w:t>
      </w:r>
      <w:r w:rsidRPr="007A0B4F">
        <w:rPr>
          <w:b/>
        </w:rPr>
        <w:t xml:space="preserve">. </w:t>
      </w:r>
      <w:r w:rsidR="00856EDC" w:rsidRPr="007A0B4F">
        <w:rPr>
          <w:b/>
        </w:rPr>
        <w:t xml:space="preserve">«Προκήρυξη»: </w:t>
      </w:r>
      <w:r w:rsidR="00856EDC" w:rsidRPr="004E7B57">
        <w:t xml:space="preserve">Η παρούσα Προκήρυξη για τη διεξαγωγή της </w:t>
      </w:r>
      <w:r w:rsidR="00BB1AF9" w:rsidRPr="004E7B57">
        <w:t xml:space="preserve">Πρώτης (Α’) </w:t>
      </w:r>
      <w:r w:rsidR="00856EDC" w:rsidRPr="004E7B57">
        <w:t>Ανταγωνιστικής Διαδικασίας.</w:t>
      </w:r>
    </w:p>
    <w:p w14:paraId="269C5D3A" w14:textId="28120CA9" w:rsidR="000546D5" w:rsidRPr="004E7B57" w:rsidRDefault="00CD3E01" w:rsidP="007A0B4F">
      <w:r w:rsidRPr="007A0B4F">
        <w:rPr>
          <w:b/>
        </w:rPr>
        <w:t>3.4</w:t>
      </w:r>
      <w:r w:rsidR="00085B38">
        <w:rPr>
          <w:b/>
        </w:rPr>
        <w:t>2</w:t>
      </w:r>
      <w:r w:rsidRPr="007A0B4F">
        <w:rPr>
          <w:b/>
        </w:rPr>
        <w:t xml:space="preserve">. </w:t>
      </w:r>
      <w:r w:rsidR="00856EDC" w:rsidRPr="007A0B4F">
        <w:rPr>
          <w:b/>
        </w:rPr>
        <w:t>«Προσφορ</w:t>
      </w:r>
      <w:r w:rsidR="00377EF8" w:rsidRPr="007A0B4F">
        <w:rPr>
          <w:b/>
        </w:rPr>
        <w:t>ά</w:t>
      </w:r>
      <w:r w:rsidR="00856EDC" w:rsidRPr="007A0B4F">
        <w:rPr>
          <w:b/>
        </w:rPr>
        <w:t xml:space="preserve">»: </w:t>
      </w:r>
      <w:r w:rsidR="00377EF8">
        <w:t>Η</w:t>
      </w:r>
      <w:r w:rsidR="00377EF8" w:rsidRPr="004E7B57">
        <w:t xml:space="preserve"> </w:t>
      </w:r>
      <w:r w:rsidR="00856EDC" w:rsidRPr="004E7B57">
        <w:t>οικονομικ</w:t>
      </w:r>
      <w:r w:rsidR="00377EF8">
        <w:t>ή</w:t>
      </w:r>
      <w:r w:rsidR="00856EDC" w:rsidRPr="004E7B57">
        <w:t xml:space="preserve"> </w:t>
      </w:r>
      <w:r w:rsidR="00377EF8">
        <w:t>προσφορά</w:t>
      </w:r>
      <w:r w:rsidR="00856EDC" w:rsidRPr="004E7B57">
        <w:t xml:space="preserve"> που υποβάλλουν οι Συμμετέχοντες κατά τ</w:t>
      </w:r>
      <w:r w:rsidR="00BB1AF9" w:rsidRPr="004E7B57">
        <w:t>ην Ανταγωνιστική Διαδικασία</w:t>
      </w:r>
      <w:r w:rsidR="00856EDC" w:rsidRPr="004E7B57">
        <w:t xml:space="preserve">, σύμφωνα με τις </w:t>
      </w:r>
      <w:r w:rsidR="00856EDC" w:rsidRPr="00E3119B">
        <w:t>παρ</w:t>
      </w:r>
      <w:r w:rsidR="000A3750" w:rsidRPr="00E3119B">
        <w:t>.</w:t>
      </w:r>
      <w:r w:rsidR="00856EDC" w:rsidRPr="00E3119B">
        <w:t xml:space="preserve"> 1</w:t>
      </w:r>
      <w:r w:rsidR="00B678CB" w:rsidRPr="00E3119B">
        <w:t>1</w:t>
      </w:r>
      <w:r w:rsidR="00856EDC" w:rsidRPr="00E3119B">
        <w:t>.</w:t>
      </w:r>
      <w:r w:rsidR="007A0B4F" w:rsidRPr="00E3119B">
        <w:t>4</w:t>
      </w:r>
      <w:r w:rsidR="00856EDC" w:rsidRPr="00E3119B">
        <w:t xml:space="preserve"> </w:t>
      </w:r>
      <w:r w:rsidR="00E90F94" w:rsidRPr="00E3119B">
        <w:t>και 12.6.</w:t>
      </w:r>
    </w:p>
    <w:p w14:paraId="5778C2FE" w14:textId="217A1805" w:rsidR="00680F37" w:rsidRPr="004E7B57" w:rsidRDefault="00CD3E01" w:rsidP="00E90F94">
      <w:r w:rsidRPr="00E90F94">
        <w:rPr>
          <w:b/>
        </w:rPr>
        <w:t>3.4</w:t>
      </w:r>
      <w:r w:rsidR="00085B38">
        <w:rPr>
          <w:b/>
        </w:rPr>
        <w:t>3</w:t>
      </w:r>
      <w:r w:rsidRPr="00E90F94">
        <w:rPr>
          <w:b/>
        </w:rPr>
        <w:t xml:space="preserve">. </w:t>
      </w:r>
      <w:r w:rsidR="00680F37" w:rsidRPr="00E90F94">
        <w:rPr>
          <w:b/>
        </w:rPr>
        <w:t>«Προσωρινός Κατάλογος Επιλεγέντων</w:t>
      </w:r>
      <w:r w:rsidR="00C104AC" w:rsidRPr="00E90F94">
        <w:rPr>
          <w:b/>
        </w:rPr>
        <w:t xml:space="preserve"> και </w:t>
      </w:r>
      <w:r w:rsidR="00680F37" w:rsidRPr="00E90F94">
        <w:rPr>
          <w:b/>
        </w:rPr>
        <w:t xml:space="preserve">Αποκλεισθέντων Συμμετεχόντων»: </w:t>
      </w:r>
      <w:r w:rsidR="00680F37" w:rsidRPr="004E7B57">
        <w:t>Ο κατάλογος που καταρτίζεται με απόφαση της Ρ.Α.Α.Ε.Υ. μετά την τυπική και ουσιαστική αξιολόγηση των υποβληθεισών και παραδεκτών Αιτήσεων Συμμετοχής</w:t>
      </w:r>
      <w:r w:rsidR="00C104AC">
        <w:t>, πλην της οικονομικής Προσφοράς,</w:t>
      </w:r>
      <w:r w:rsidR="00680F37" w:rsidRPr="004E7B57">
        <w:t xml:space="preserve"> και περιλαμβάνει τους Συμμετέχοντες που πληρούν τα απαιτούμενα κριτήρια για την ανάδειξή τους ως Επιλεγέντων Συμμετεχόντων</w:t>
      </w:r>
      <w:r w:rsidR="00C104AC">
        <w:t xml:space="preserve"> και </w:t>
      </w:r>
      <w:r w:rsidR="00680F37" w:rsidRPr="004E7B57">
        <w:t xml:space="preserve">τους Αποκλεισθέντες Συμμετέχοντες, κατά του οποίου χωρεί υποβολή ένστασης σύμφωνα με το </w:t>
      </w:r>
      <w:r w:rsidR="00680F37" w:rsidRPr="00E3119B">
        <w:t>άρθρο 12.</w:t>
      </w:r>
    </w:p>
    <w:p w14:paraId="65FD673F" w14:textId="791EBA54" w:rsidR="00680F37" w:rsidRPr="004E7B57" w:rsidRDefault="00CD3E01" w:rsidP="00E90F94">
      <w:r w:rsidRPr="00E90F94">
        <w:rPr>
          <w:b/>
        </w:rPr>
        <w:t>3.4</w:t>
      </w:r>
      <w:r w:rsidR="00085B38">
        <w:rPr>
          <w:b/>
        </w:rPr>
        <w:t>4</w:t>
      </w:r>
      <w:r w:rsidRPr="00E90F94">
        <w:rPr>
          <w:b/>
        </w:rPr>
        <w:t xml:space="preserve">. </w:t>
      </w:r>
      <w:r w:rsidR="00680F37" w:rsidRPr="00E90F94">
        <w:rPr>
          <w:b/>
        </w:rPr>
        <w:t xml:space="preserve">«Ρ.Α.Α.Ε.Υ.»: </w:t>
      </w:r>
      <w:r w:rsidR="00680F37" w:rsidRPr="004E7B57">
        <w:t>Ρυθμιστική Αρχή Αποβλήτων, Ενέργειας και Υδάτων.</w:t>
      </w:r>
    </w:p>
    <w:p w14:paraId="2E1960F8" w14:textId="4E78D175" w:rsidR="00680F37" w:rsidRPr="004E7B57" w:rsidRDefault="00CD3E01" w:rsidP="00E90F94">
      <w:r w:rsidRPr="00E90F94">
        <w:rPr>
          <w:b/>
        </w:rPr>
        <w:t>3.4</w:t>
      </w:r>
      <w:r w:rsidR="00085B38">
        <w:rPr>
          <w:b/>
        </w:rPr>
        <w:t>5</w:t>
      </w:r>
      <w:r w:rsidRPr="00E90F94">
        <w:rPr>
          <w:b/>
        </w:rPr>
        <w:t xml:space="preserve">. </w:t>
      </w:r>
      <w:r w:rsidR="00680F37" w:rsidRPr="00E90F94">
        <w:rPr>
          <w:b/>
        </w:rPr>
        <w:t>«Ρυθμιστική Περίοδος</w:t>
      </w:r>
      <w:r w:rsidR="00680F37" w:rsidRPr="004E7B57">
        <w:t>»: Η χρονική περίοδος για την οποία καθορίζονται οι παράμετροι  του Εσόδου Αναφοράς και της απαιτούμενης ενίσχυσης του Σ.Α.Η.Ε..</w:t>
      </w:r>
    </w:p>
    <w:p w14:paraId="5B07D4AD" w14:textId="5223A425" w:rsidR="00680F37" w:rsidRPr="004E7B57" w:rsidRDefault="00CD3E01" w:rsidP="00E90F94">
      <w:r w:rsidRPr="00E90F94">
        <w:rPr>
          <w:b/>
        </w:rPr>
        <w:t>3.4</w:t>
      </w:r>
      <w:r w:rsidR="00085B38">
        <w:rPr>
          <w:b/>
        </w:rPr>
        <w:t>6</w:t>
      </w:r>
      <w:r w:rsidRPr="00E90F94">
        <w:rPr>
          <w:b/>
        </w:rPr>
        <w:t xml:space="preserve">. </w:t>
      </w:r>
      <w:r w:rsidR="00680F37" w:rsidRPr="00E90F94">
        <w:rPr>
          <w:b/>
        </w:rPr>
        <w:t xml:space="preserve">«Σταθμός Αποθήκευσης Ηλεκτρικής Ενέργειας ή Σ.Α.Η.Ε.»: </w:t>
      </w:r>
      <w:r w:rsidR="00680F37" w:rsidRPr="004E7B57">
        <w:t>Ως ορίζεται στην περ. (</w:t>
      </w:r>
      <w:proofErr w:type="spellStart"/>
      <w:r w:rsidR="00680F37" w:rsidRPr="004E7B57">
        <w:t>λια</w:t>
      </w:r>
      <w:proofErr w:type="spellEnd"/>
      <w:r w:rsidR="00680F37" w:rsidRPr="004E7B57">
        <w:t>) της παρ. 3 του άρθρου 2 του ν. 4001/2011.</w:t>
      </w:r>
    </w:p>
    <w:p w14:paraId="51EA9953" w14:textId="3BFDB750" w:rsidR="00680F37" w:rsidRPr="004E7B57" w:rsidRDefault="00CD3E01" w:rsidP="00E90F94">
      <w:r w:rsidRPr="00E90F94">
        <w:rPr>
          <w:b/>
        </w:rPr>
        <w:t>3.4</w:t>
      </w:r>
      <w:r w:rsidR="00085B38">
        <w:rPr>
          <w:b/>
        </w:rPr>
        <w:t>7</w:t>
      </w:r>
      <w:r w:rsidRPr="00E90F94">
        <w:rPr>
          <w:b/>
        </w:rPr>
        <w:t>.</w:t>
      </w:r>
      <w:r w:rsidRPr="00E90F94">
        <w:rPr>
          <w:bCs/>
        </w:rPr>
        <w:t xml:space="preserve"> </w:t>
      </w:r>
      <w:r w:rsidR="00680F37" w:rsidRPr="00E90F94">
        <w:rPr>
          <w:bCs/>
        </w:rPr>
        <w:t>«</w:t>
      </w:r>
      <w:r w:rsidR="00680F37" w:rsidRPr="00E90F94">
        <w:rPr>
          <w:b/>
        </w:rPr>
        <w:t>Σύμβαση Λειτουργικής Ενίσχυσης</w:t>
      </w:r>
      <w:r w:rsidR="00680F37" w:rsidRPr="00E90F94">
        <w:rPr>
          <w:bCs/>
        </w:rPr>
        <w:t>»</w:t>
      </w:r>
      <w:r w:rsidR="00680F37" w:rsidRPr="004E7B57">
        <w:t xml:space="preserve">: Η σύμβαση που υπογράφει ο </w:t>
      </w:r>
      <w:r w:rsidR="00BE4E1D" w:rsidRPr="004E7B57">
        <w:t xml:space="preserve">Επιλεγείς Συμμετέχων </w:t>
      </w:r>
      <w:r w:rsidR="00680F37" w:rsidRPr="004E7B57">
        <w:t>με τον Διαχειριστή Α.Π.Ε. και Εγγυήσεων Προέλευσης για την ένταξη του Σ.Α.Η.Ε. στο καθεστώς Λειτουργικής Ενίσχυσης, βάσει των ειδικών όρων και προϋποθέσεων της Υπουργικής Απόφασης και των όρων της παρούσας Προκήρυξης που οφείλει να πληροί κατά την υπογραφή της.</w:t>
      </w:r>
    </w:p>
    <w:p w14:paraId="019A3B64" w14:textId="1B4648C3" w:rsidR="00680F37" w:rsidRPr="004E7B57" w:rsidRDefault="00CD3E01" w:rsidP="00E90F94">
      <w:r w:rsidRPr="00E90F94">
        <w:rPr>
          <w:b/>
        </w:rPr>
        <w:t>3.4</w:t>
      </w:r>
      <w:r w:rsidR="00085B38">
        <w:rPr>
          <w:b/>
        </w:rPr>
        <w:t>8</w:t>
      </w:r>
      <w:r w:rsidRPr="00E90F94">
        <w:rPr>
          <w:b/>
        </w:rPr>
        <w:t xml:space="preserve">. </w:t>
      </w:r>
      <w:r w:rsidR="00680F37" w:rsidRPr="00E90F94">
        <w:rPr>
          <w:b/>
        </w:rPr>
        <w:t xml:space="preserve">«Συμμετέχων»: </w:t>
      </w:r>
      <w:r w:rsidR="00680F37" w:rsidRPr="004E7B57">
        <w:t>Το φυσικό ή νομικό πρόσωπο που συμμετέχει στην Ανταγωνιστική Διαδικασία.</w:t>
      </w:r>
    </w:p>
    <w:p w14:paraId="6DA28E43" w14:textId="32E3AD88" w:rsidR="00680F37" w:rsidRPr="004E7B57" w:rsidRDefault="00CD3E01" w:rsidP="00E90F94">
      <w:r w:rsidRPr="00E90F94">
        <w:rPr>
          <w:b/>
          <w:bCs/>
        </w:rPr>
        <w:t>3.</w:t>
      </w:r>
      <w:r w:rsidR="00085B38">
        <w:rPr>
          <w:b/>
          <w:bCs/>
        </w:rPr>
        <w:t>49</w:t>
      </w:r>
      <w:r w:rsidRPr="00E90F94">
        <w:rPr>
          <w:b/>
          <w:bCs/>
        </w:rPr>
        <w:t xml:space="preserve">. </w:t>
      </w:r>
      <w:r w:rsidR="00FE253F" w:rsidRPr="00E90F94">
        <w:rPr>
          <w:b/>
          <w:bCs/>
        </w:rPr>
        <w:t>«</w:t>
      </w:r>
      <w:r w:rsidR="00680F37" w:rsidRPr="00E90F94">
        <w:rPr>
          <w:b/>
          <w:bCs/>
        </w:rPr>
        <w:t>Συμμετέχων στις Αγορές ηλεκτρικής ενέργειας»</w:t>
      </w:r>
      <w:r w:rsidR="00680F37" w:rsidRPr="004E7B57">
        <w:t>: Έχει την έννοια της περ. (</w:t>
      </w:r>
      <w:proofErr w:type="spellStart"/>
      <w:r w:rsidR="00680F37" w:rsidRPr="004E7B57">
        <w:t>ιε</w:t>
      </w:r>
      <w:proofErr w:type="spellEnd"/>
      <w:r w:rsidR="00680F37" w:rsidRPr="004E7B57">
        <w:t>) της παρ. του άρθρου 5 του ν. 4425/2016.</w:t>
      </w:r>
    </w:p>
    <w:p w14:paraId="45D8900D" w14:textId="5A63298A" w:rsidR="00680F37" w:rsidRPr="004E7B57" w:rsidRDefault="00CD3E01" w:rsidP="00264F14">
      <w:r w:rsidRPr="001A781F">
        <w:rPr>
          <w:b/>
        </w:rPr>
        <w:t>3.</w:t>
      </w:r>
      <w:r w:rsidR="00E90F94" w:rsidRPr="001A781F">
        <w:rPr>
          <w:b/>
        </w:rPr>
        <w:t>5</w:t>
      </w:r>
      <w:r w:rsidR="00085B38" w:rsidRPr="001A781F">
        <w:rPr>
          <w:b/>
        </w:rPr>
        <w:t>0</w:t>
      </w:r>
      <w:r w:rsidRPr="001A781F">
        <w:rPr>
          <w:b/>
        </w:rPr>
        <w:t xml:space="preserve">. </w:t>
      </w:r>
      <w:r w:rsidR="00680F37" w:rsidRPr="001A781F">
        <w:rPr>
          <w:b/>
        </w:rPr>
        <w:t>«Συνδεδεμέ</w:t>
      </w:r>
      <w:r w:rsidR="001A781F" w:rsidRPr="001A781F">
        <w:rPr>
          <w:b/>
        </w:rPr>
        <w:t>ν</w:t>
      </w:r>
      <w:r w:rsidR="001A781F">
        <w:rPr>
          <w:b/>
        </w:rPr>
        <w:t>η</w:t>
      </w:r>
      <w:r w:rsidR="001A781F" w:rsidRPr="001A781F">
        <w:rPr>
          <w:b/>
        </w:rPr>
        <w:t xml:space="preserve"> επιχείρησ</w:t>
      </w:r>
      <w:r w:rsidR="001A781F">
        <w:rPr>
          <w:b/>
        </w:rPr>
        <w:t>η</w:t>
      </w:r>
      <w:r w:rsidR="00680F37" w:rsidRPr="001A781F">
        <w:rPr>
          <w:b/>
        </w:rPr>
        <w:t xml:space="preserve">»: </w:t>
      </w:r>
      <w:r w:rsidR="001A781F" w:rsidRPr="001A781F">
        <w:t>Έχει</w:t>
      </w:r>
      <w:r w:rsidR="001A781F">
        <w:t xml:space="preserve"> την έννοια της παρ. 3</w:t>
      </w:r>
      <w:r w:rsidR="001A781F" w:rsidRPr="00264F14">
        <w:t xml:space="preserve"> του άρθρου 3 της Σύστασης της Επιτροπής της 6ης Μαΐου 2003 (2003/361/ΕΚ) σχετικά µε τον </w:t>
      </w:r>
      <w:proofErr w:type="spellStart"/>
      <w:r w:rsidR="001A781F" w:rsidRPr="00264F14">
        <w:t>ορισµό</w:t>
      </w:r>
      <w:proofErr w:type="spellEnd"/>
      <w:r w:rsidR="001A781F" w:rsidRPr="00264F14">
        <w:t xml:space="preserve"> των πολύ µ</w:t>
      </w:r>
      <w:proofErr w:type="spellStart"/>
      <w:r w:rsidR="001A781F" w:rsidRPr="00264F14">
        <w:t>ικρών</w:t>
      </w:r>
      <w:proofErr w:type="spellEnd"/>
      <w:r w:rsidR="001A781F" w:rsidRPr="00264F14">
        <w:t>, των µ</w:t>
      </w:r>
      <w:proofErr w:type="spellStart"/>
      <w:r w:rsidR="001A781F" w:rsidRPr="00264F14">
        <w:t>ικρών</w:t>
      </w:r>
      <w:proofErr w:type="spellEnd"/>
      <w:r w:rsidR="001A781F" w:rsidRPr="00264F14">
        <w:t xml:space="preserve"> και των µ</w:t>
      </w:r>
      <w:proofErr w:type="spellStart"/>
      <w:r w:rsidR="001A781F" w:rsidRPr="00264F14">
        <w:t>εσαίων</w:t>
      </w:r>
      <w:proofErr w:type="spellEnd"/>
      <w:r w:rsidR="001A781F" w:rsidRPr="00264F14">
        <w:t xml:space="preserve"> επιχειρήσεων (EEL 124/36 της 20.05.2003).</w:t>
      </w:r>
    </w:p>
    <w:p w14:paraId="2D0FF18D" w14:textId="1BF16944" w:rsidR="00680F37" w:rsidRPr="004E7B57" w:rsidRDefault="00082A29" w:rsidP="00E90F94">
      <w:r w:rsidRPr="00264F14">
        <w:rPr>
          <w:b/>
        </w:rPr>
        <w:t>3.5</w:t>
      </w:r>
      <w:r w:rsidR="00085B38" w:rsidRPr="00264F14">
        <w:rPr>
          <w:b/>
        </w:rPr>
        <w:t>1</w:t>
      </w:r>
      <w:r w:rsidRPr="00264F14">
        <w:rPr>
          <w:b/>
        </w:rPr>
        <w:t xml:space="preserve">. </w:t>
      </w:r>
      <w:r w:rsidR="00680F37" w:rsidRPr="00264F14">
        <w:rPr>
          <w:b/>
        </w:rPr>
        <w:t>«</w:t>
      </w:r>
      <w:proofErr w:type="spellStart"/>
      <w:r w:rsidR="00680F37" w:rsidRPr="00264F14">
        <w:rPr>
          <w:b/>
        </w:rPr>
        <w:t>Συνεργαζόµεν</w:t>
      </w:r>
      <w:r w:rsidR="001A781F">
        <w:rPr>
          <w:b/>
        </w:rPr>
        <w:t>η</w:t>
      </w:r>
      <w:proofErr w:type="spellEnd"/>
      <w:r w:rsidR="001A781F">
        <w:rPr>
          <w:b/>
        </w:rPr>
        <w:t xml:space="preserve"> </w:t>
      </w:r>
      <w:r w:rsidR="001A781F" w:rsidRPr="00264F14">
        <w:rPr>
          <w:b/>
        </w:rPr>
        <w:t>επιχείρησ</w:t>
      </w:r>
      <w:r w:rsidR="001A781F">
        <w:rPr>
          <w:b/>
        </w:rPr>
        <w:t>η</w:t>
      </w:r>
      <w:r w:rsidR="00680F37" w:rsidRPr="00264F14">
        <w:rPr>
          <w:b/>
        </w:rPr>
        <w:t xml:space="preserve">»: </w:t>
      </w:r>
      <w:r w:rsidR="00680F37" w:rsidRPr="00264F14">
        <w:t xml:space="preserve">Οι επιχειρήσεις που δεν χαρακτηρίζονται ως </w:t>
      </w:r>
      <w:proofErr w:type="spellStart"/>
      <w:r w:rsidR="00680F37" w:rsidRPr="00264F14">
        <w:t>συνδεδεµένες</w:t>
      </w:r>
      <w:proofErr w:type="spellEnd"/>
      <w:r w:rsidR="00680F37" w:rsidRPr="00264F14">
        <w:t xml:space="preserve"> κατά την έννοια της παρ. 2 του άρθρου 3 της Σύστασης της Επιτροπής της 6ης Μαΐου 2003 </w:t>
      </w:r>
      <w:r w:rsidR="00264F14" w:rsidRPr="00264F14">
        <w:t xml:space="preserve">(2003/361/ΕΚ) </w:t>
      </w:r>
      <w:r w:rsidR="00680F37" w:rsidRPr="00264F14">
        <w:t xml:space="preserve">σχετικά µε τον </w:t>
      </w:r>
      <w:proofErr w:type="spellStart"/>
      <w:r w:rsidR="00680F37" w:rsidRPr="00264F14">
        <w:t>ορισµό</w:t>
      </w:r>
      <w:proofErr w:type="spellEnd"/>
      <w:r w:rsidR="00680F37" w:rsidRPr="00264F14">
        <w:t xml:space="preserve"> των πολύ µ</w:t>
      </w:r>
      <w:proofErr w:type="spellStart"/>
      <w:r w:rsidR="00680F37" w:rsidRPr="00264F14">
        <w:t>ικρών</w:t>
      </w:r>
      <w:proofErr w:type="spellEnd"/>
      <w:r w:rsidR="00680F37" w:rsidRPr="00264F14">
        <w:t>, των µ</w:t>
      </w:r>
      <w:proofErr w:type="spellStart"/>
      <w:r w:rsidR="00680F37" w:rsidRPr="00264F14">
        <w:t>ικρών</w:t>
      </w:r>
      <w:proofErr w:type="spellEnd"/>
      <w:r w:rsidR="00680F37" w:rsidRPr="00264F14">
        <w:t xml:space="preserve"> και των µ</w:t>
      </w:r>
      <w:proofErr w:type="spellStart"/>
      <w:r w:rsidR="00680F37" w:rsidRPr="00264F14">
        <w:t>εσαίων</w:t>
      </w:r>
      <w:proofErr w:type="spellEnd"/>
      <w:r w:rsidR="00680F37" w:rsidRPr="00264F14">
        <w:t xml:space="preserve"> επιχειρήσεων (EEL 124/36 της 20.05.2003).</w:t>
      </w:r>
    </w:p>
    <w:p w14:paraId="4D03B2D2" w14:textId="5555F647" w:rsidR="00680F37" w:rsidRPr="004E7B57" w:rsidRDefault="00082A29" w:rsidP="00E90F94">
      <w:r w:rsidRPr="00E90F94">
        <w:rPr>
          <w:b/>
        </w:rPr>
        <w:t>3.5</w:t>
      </w:r>
      <w:r w:rsidR="00085B38">
        <w:rPr>
          <w:b/>
        </w:rPr>
        <w:t>2</w:t>
      </w:r>
      <w:r w:rsidRPr="00E90F94">
        <w:rPr>
          <w:b/>
        </w:rPr>
        <w:t xml:space="preserve">. </w:t>
      </w:r>
      <w:r w:rsidR="00680F37" w:rsidRPr="00E90F94">
        <w:rPr>
          <w:b/>
        </w:rPr>
        <w:t xml:space="preserve">«Συνολική δημοπρατούμενη ισχύς»: </w:t>
      </w:r>
      <w:r w:rsidR="00680F37" w:rsidRPr="004E7B57">
        <w:t>Το άθροισμα της Μέγιστης ισχύος έγχυσης των Ενισχυόμενων Σ.Α.Η.Ε., όπως προκύπτει από τις Άδειες αποθήκευσης ηλεκτρικής ενέργειας των ως άνω Σ.Α.Η.Ε. ή και από τη συνολική Ισχύ Συμμετοχής τους.</w:t>
      </w:r>
    </w:p>
    <w:p w14:paraId="14E0DAE6" w14:textId="10B34B63" w:rsidR="00680F37" w:rsidRPr="004E7B57" w:rsidRDefault="00082A29" w:rsidP="00E90F94">
      <w:r w:rsidRPr="00E90F94">
        <w:rPr>
          <w:b/>
        </w:rPr>
        <w:t>3.5</w:t>
      </w:r>
      <w:r w:rsidR="00264F14">
        <w:rPr>
          <w:b/>
        </w:rPr>
        <w:t>3</w:t>
      </w:r>
      <w:r w:rsidRPr="00E90F94">
        <w:rPr>
          <w:b/>
        </w:rPr>
        <w:t xml:space="preserve">. </w:t>
      </w:r>
      <w:r w:rsidR="00680F37" w:rsidRPr="00E90F94">
        <w:rPr>
          <w:b/>
        </w:rPr>
        <w:t xml:space="preserve">«Τέλος Συμμετοχής»: </w:t>
      </w:r>
      <w:r w:rsidR="00680F37" w:rsidRPr="004E7B57">
        <w:t xml:space="preserve">Το ποσό του </w:t>
      </w:r>
      <w:r w:rsidR="00680F37" w:rsidRPr="00E3119B">
        <w:t xml:space="preserve">άρθρου </w:t>
      </w:r>
      <w:r w:rsidR="00E3119B" w:rsidRPr="00E3119B">
        <w:t>9</w:t>
      </w:r>
      <w:r w:rsidR="00680F37" w:rsidRPr="00E3119B">
        <w:t xml:space="preserve"> που</w:t>
      </w:r>
      <w:r w:rsidR="00680F37" w:rsidRPr="004E7B57">
        <w:t xml:space="preserve"> καταβάλει έκαστος Συμμετέχων για τη συμμετοχή στην Ανταγωνιστική Διαδικασία.</w:t>
      </w:r>
    </w:p>
    <w:p w14:paraId="60B47BC5" w14:textId="251A77E7" w:rsidR="00680F37" w:rsidRPr="004E7B57" w:rsidRDefault="00082A29" w:rsidP="00E90F94">
      <w:r w:rsidRPr="00E90F94">
        <w:rPr>
          <w:b/>
        </w:rPr>
        <w:t>3.5</w:t>
      </w:r>
      <w:r w:rsidR="00264F14">
        <w:rPr>
          <w:b/>
        </w:rPr>
        <w:t>4</w:t>
      </w:r>
      <w:r w:rsidRPr="00E90F94">
        <w:rPr>
          <w:b/>
        </w:rPr>
        <w:t xml:space="preserve">. </w:t>
      </w:r>
      <w:r w:rsidR="00680F37" w:rsidRPr="00E90F94">
        <w:rPr>
          <w:b/>
        </w:rPr>
        <w:t>«</w:t>
      </w:r>
      <w:proofErr w:type="spellStart"/>
      <w:r w:rsidR="00680F37" w:rsidRPr="00E90F94">
        <w:rPr>
          <w:b/>
        </w:rPr>
        <w:t>Υπολογαριασμός</w:t>
      </w:r>
      <w:proofErr w:type="spellEnd"/>
      <w:r w:rsidR="00680F37" w:rsidRPr="00E90F94">
        <w:rPr>
          <w:b/>
        </w:rPr>
        <w:t xml:space="preserve"> Συστημάτων Αποθήκευσης Ηλεκτρικής Ενέργειας ή ΥΛ Σ.Α.Η.Ε.»: </w:t>
      </w:r>
      <w:r w:rsidR="00680F37" w:rsidRPr="004E7B57">
        <w:t xml:space="preserve">Ο </w:t>
      </w:r>
      <w:proofErr w:type="spellStart"/>
      <w:r w:rsidR="00680F37" w:rsidRPr="004E7B57">
        <w:t>Υπολογαριασμός</w:t>
      </w:r>
      <w:proofErr w:type="spellEnd"/>
      <w:r w:rsidR="00680F37" w:rsidRPr="004E7B57">
        <w:t xml:space="preserve"> Συστημάτων Αποθήκευσης Ηλεκτρικής Ενέργειας του Ειδικού Λογαριασμού Α.Π.Ε, Σ.Η.Θ.Υ.Α. και Αποθήκευσης Διασυνδεδεμένου Συστήματος και Δικτύου του άρθρου 143 του ν. 4001/2011, ο οποίος τηρείται για την παροχή ενίσχυσης σε Σ.Α.Η.Ε..</w:t>
      </w:r>
    </w:p>
    <w:p w14:paraId="7D3B7790" w14:textId="056A0840" w:rsidR="00680F37" w:rsidRPr="004E7B57" w:rsidRDefault="00082A29" w:rsidP="00E90F94">
      <w:r w:rsidRPr="00E90F94">
        <w:rPr>
          <w:b/>
        </w:rPr>
        <w:t>3.5</w:t>
      </w:r>
      <w:r w:rsidR="00264F14">
        <w:rPr>
          <w:b/>
        </w:rPr>
        <w:t>5</w:t>
      </w:r>
      <w:r w:rsidRPr="00E90F94">
        <w:rPr>
          <w:b/>
        </w:rPr>
        <w:t xml:space="preserve">. </w:t>
      </w:r>
      <w:r w:rsidR="00680F37" w:rsidRPr="00E90F94">
        <w:rPr>
          <w:b/>
        </w:rPr>
        <w:t xml:space="preserve">«Υπουργική Απόφαση»: </w:t>
      </w:r>
      <w:r w:rsidR="00680F37" w:rsidRPr="004E7B57">
        <w:t xml:space="preserve">η υπ’ αριθ. </w:t>
      </w:r>
      <w:r w:rsidRPr="00E90F94">
        <w:rPr>
          <w:bCs/>
        </w:rPr>
        <w:t xml:space="preserve">ΥΠΕΝ/ΔΗΕ/55948/1087 Απόφαση των Υπουργών Οικονομικών, Ανάπτυξης και Επενδύσεων και Περιβάλλοντος και Ενέργειας </w:t>
      </w:r>
      <w:r w:rsidR="00910599" w:rsidRPr="00E90F94">
        <w:rPr>
          <w:bCs/>
        </w:rPr>
        <w:t>«</w:t>
      </w:r>
      <w:r w:rsidR="00910599" w:rsidRPr="00E90F94">
        <w:rPr>
          <w:bCs/>
          <w:i/>
          <w:iCs/>
        </w:rPr>
        <w:t xml:space="preserve">Ανταγωνιστικές διαδικασίες υποβολής προσφορών για τη χορήγηση λειτουργικής ενίσχυσης σε σταθμούς αποθήκευσης ηλεκτρικής </w:t>
      </w:r>
      <w:r w:rsidR="00910599" w:rsidRPr="00E90F94">
        <w:rPr>
          <w:bCs/>
          <w:i/>
          <w:iCs/>
        </w:rPr>
        <w:lastRenderedPageBreak/>
        <w:t xml:space="preserve">ενέργειας, σύμφωνα με την </w:t>
      </w:r>
      <w:proofErr w:type="spellStart"/>
      <w:r w:rsidR="00910599" w:rsidRPr="00E90F94">
        <w:rPr>
          <w:bCs/>
          <w:i/>
          <w:iCs/>
        </w:rPr>
        <w:t>υποπαρ</w:t>
      </w:r>
      <w:proofErr w:type="spellEnd"/>
      <w:r w:rsidR="00910599" w:rsidRPr="00E90F94">
        <w:rPr>
          <w:bCs/>
          <w:i/>
          <w:iCs/>
        </w:rPr>
        <w:t>. 2Α της παρ. 2 του άρθρου 143ΣΤ του ν. 4001/2011 (Α’ 179.</w:t>
      </w:r>
      <w:r w:rsidR="00910599" w:rsidRPr="00E90F94">
        <w:rPr>
          <w:bCs/>
        </w:rPr>
        <w:t>» (ΦΕΚ Β’ 3416/2023)</w:t>
      </w:r>
      <w:r w:rsidR="00910599" w:rsidRPr="004E7B57" w:rsidDel="00910599">
        <w:t xml:space="preserve"> </w:t>
      </w:r>
      <w:r w:rsidR="00680F37" w:rsidRPr="004E7B57">
        <w:t>(</w:t>
      </w:r>
      <w:r w:rsidR="00910599">
        <w:t xml:space="preserve">ΦΕΚ </w:t>
      </w:r>
      <w:r w:rsidR="00680F37" w:rsidRPr="004E7B57">
        <w:t xml:space="preserve">Β’ </w:t>
      </w:r>
      <w:r w:rsidR="00910599">
        <w:t>3416</w:t>
      </w:r>
      <w:r w:rsidR="00680F37" w:rsidRPr="004E7B57">
        <w:t xml:space="preserve">/2023), η οποία </w:t>
      </w:r>
      <w:proofErr w:type="spellStart"/>
      <w:r w:rsidR="00680F37" w:rsidRPr="004E7B57">
        <w:t>εξεδόθη</w:t>
      </w:r>
      <w:proofErr w:type="spellEnd"/>
      <w:r w:rsidR="00680F37" w:rsidRPr="004E7B57">
        <w:t xml:space="preserve"> </w:t>
      </w:r>
      <w:r w:rsidR="00E90F94">
        <w:t>κατ’</w:t>
      </w:r>
      <w:r w:rsidR="00680F37" w:rsidRPr="004E7B57">
        <w:t xml:space="preserve"> εφαρμογή της Εγκριτικής Απόφασης.</w:t>
      </w:r>
    </w:p>
    <w:p w14:paraId="2D5CDDC6" w14:textId="77777777" w:rsidR="009B723C" w:rsidRPr="004E7B57" w:rsidRDefault="009B723C" w:rsidP="00E76414"/>
    <w:p w14:paraId="21C291C9" w14:textId="5F025E9B" w:rsidR="009B723C" w:rsidRPr="00733B6B" w:rsidRDefault="00A522C6" w:rsidP="00733B6B">
      <w:pPr>
        <w:jc w:val="center"/>
        <w:rPr>
          <w:b/>
          <w:bCs/>
        </w:rPr>
      </w:pPr>
      <w:r w:rsidRPr="00733B6B">
        <w:rPr>
          <w:b/>
          <w:bCs/>
        </w:rPr>
        <w:t>Άρθρο 4</w:t>
      </w:r>
    </w:p>
    <w:p w14:paraId="528A3F8D" w14:textId="64556BD8" w:rsidR="000546D5" w:rsidRPr="00733B6B" w:rsidRDefault="00856EDC" w:rsidP="00733B6B">
      <w:pPr>
        <w:jc w:val="center"/>
        <w:rPr>
          <w:b/>
          <w:bCs/>
        </w:rPr>
      </w:pPr>
      <w:r w:rsidRPr="00733B6B">
        <w:rPr>
          <w:b/>
          <w:bCs/>
        </w:rPr>
        <w:t xml:space="preserve">Γλώσσα διαδικασίας </w:t>
      </w:r>
      <w:r w:rsidR="00733B6B">
        <w:rPr>
          <w:b/>
          <w:bCs/>
        </w:rPr>
        <w:t>-</w:t>
      </w:r>
      <w:r w:rsidRPr="00733B6B">
        <w:rPr>
          <w:b/>
          <w:bCs/>
        </w:rPr>
        <w:t xml:space="preserve"> Επικύρωση εγγράφων - Επικοινωνία</w:t>
      </w:r>
    </w:p>
    <w:p w14:paraId="35C712FD" w14:textId="77777777" w:rsidR="003E30BB" w:rsidRPr="004E7B57" w:rsidRDefault="003E30BB" w:rsidP="00E76414"/>
    <w:p w14:paraId="1D3DC6C1" w14:textId="34FD5F3D" w:rsidR="00590FE6" w:rsidRPr="004E7B57" w:rsidRDefault="002708A7" w:rsidP="00C42445">
      <w:r w:rsidRPr="004E7B57">
        <w:rPr>
          <w:b/>
          <w:bCs/>
        </w:rPr>
        <w:t xml:space="preserve">4.1. </w:t>
      </w:r>
      <w:r w:rsidR="00CF21E9" w:rsidRPr="004E7B57">
        <w:t xml:space="preserve">Υπό την επιφύλαξη της παρ. </w:t>
      </w:r>
      <w:r w:rsidR="00E90F94">
        <w:t>4.</w:t>
      </w:r>
      <w:r w:rsidR="00CF21E9" w:rsidRPr="004E7B57">
        <w:t>2</w:t>
      </w:r>
      <w:r w:rsidR="00E90F94">
        <w:t>.</w:t>
      </w:r>
      <w:r w:rsidR="00856EDC" w:rsidRPr="004E7B57">
        <w:t xml:space="preserve"> κάθε έγγραφο της </w:t>
      </w:r>
      <w:r w:rsidR="00CF21E9" w:rsidRPr="004E7B57">
        <w:t>Ρ.Α.Α.Ε.Υ.</w:t>
      </w:r>
      <w:r w:rsidR="00856EDC" w:rsidRPr="004E7B57">
        <w:t xml:space="preserve"> </w:t>
      </w:r>
      <w:r w:rsidR="00E90F94">
        <w:t>συντάσσεται</w:t>
      </w:r>
      <w:r w:rsidR="00856EDC" w:rsidRPr="004E7B57">
        <w:t xml:space="preserve"> στην ελληνική γλώσσα</w:t>
      </w:r>
      <w:r w:rsidR="00CF21E9" w:rsidRPr="004E7B57">
        <w:t xml:space="preserve"> και </w:t>
      </w:r>
      <w:r w:rsidR="00590FE6" w:rsidRPr="004E7B57">
        <w:t xml:space="preserve">η </w:t>
      </w:r>
      <w:r w:rsidR="00856EDC" w:rsidRPr="004E7B57">
        <w:t>συμμετοχή στην Ανταγωνιστική Διαδικασία, η Αίτηση Συμμετοχής και τα απαιτούμενα από τους όρους της Προκήρυξης και των Παραρτημάτων αυτής</w:t>
      </w:r>
      <w:r w:rsidR="00F2748D" w:rsidRPr="004E7B57">
        <w:t xml:space="preserve"> </w:t>
      </w:r>
      <w:r w:rsidR="00856EDC" w:rsidRPr="004E7B57">
        <w:t xml:space="preserve">έγγραφα που συνοδεύουν την Αίτηση Συμμετοχής, οι προσφορές, το σύνολο των στοιχείων που υποβάλλονται στο πλαίσιο συμμετοχής στην Ανταγωνιστική Διαδικασία, </w:t>
      </w:r>
      <w:r w:rsidR="00C42445" w:rsidRPr="004E7B57">
        <w:t>διατυπώνονται εγγράφως, επί ποινή αποκλεισμού, στην ελληνική γλώσσα</w:t>
      </w:r>
      <w:r w:rsidR="00C42445">
        <w:t>. Περαιτέρω,</w:t>
      </w:r>
      <w:r w:rsidR="00856EDC" w:rsidRPr="004E7B57">
        <w:t xml:space="preserve"> κάθε παροχή πληροφορίας, αλληλογραφία, γνωστοποίηση, υποβολή ένστασης, αίτησης κ.λπ. διατυπώνονται εγγράφως στην ελληνική γλώσσα</w:t>
      </w:r>
      <w:r w:rsidR="00E90F94">
        <w:t xml:space="preserve">, </w:t>
      </w:r>
      <w:r w:rsidR="00C42445">
        <w:t>ενώ κ</w:t>
      </w:r>
      <w:r w:rsidR="00856EDC" w:rsidRPr="004E7B57">
        <w:t xml:space="preserve">είμενα που έχουν συνταχθεί σε άλλη γλώσσα δεν λαμβάνονται υπόψη. Έγγραφα που εκδίδονται από χώρες του εξωτερικού συνοδεύονται, επί ποινή αποκλεισμού, από επίσημη μετάφρασή τους στην </w:t>
      </w:r>
      <w:r w:rsidR="00E90F94">
        <w:t>ε</w:t>
      </w:r>
      <w:r w:rsidR="00856EDC" w:rsidRPr="004E7B57">
        <w:t xml:space="preserve">λληνική </w:t>
      </w:r>
      <w:r w:rsidR="00E90F94">
        <w:t xml:space="preserve">γλώσσα </w:t>
      </w:r>
      <w:r w:rsidR="00856EDC" w:rsidRPr="004E7B57">
        <w:t xml:space="preserve">είτε από </w:t>
      </w:r>
      <w:r w:rsidR="00E90F94">
        <w:t>π</w:t>
      </w:r>
      <w:r w:rsidR="00856EDC" w:rsidRPr="004E7B57">
        <w:t xml:space="preserve">ιστοποιημένο μεταφραστή (μέσω της Ενιαίας Ψηφιακής Πύλης gov.gr), είτε από δικηγόρο σύμφωνα με τα άρθρα 454 του Κώδικα Πολιτικής Δικονομίας και 36 του Κώδικα Δικηγόρων (ν. 4194/2013, Α’ 208). Στην περίπτωση αυτή, τα εν λόγω έγγραφα θα πρέπει να είναι πρωτότυπα ή ευκρινή φωτοαντίγραφα αυτών νομίμως επικυρωμένα. </w:t>
      </w:r>
    </w:p>
    <w:p w14:paraId="1CB4F465" w14:textId="6DBD5BE0" w:rsidR="000546D5" w:rsidRPr="004E7B57" w:rsidRDefault="00590FE6" w:rsidP="0091350F">
      <w:r w:rsidRPr="004E7B57">
        <w:rPr>
          <w:b/>
          <w:bCs/>
        </w:rPr>
        <w:t>4.2.</w:t>
      </w:r>
      <w:r w:rsidRPr="004E7B57">
        <w:t xml:space="preserve"> </w:t>
      </w:r>
      <w:r w:rsidR="002C1F6A">
        <w:t xml:space="preserve">Το Παράρτημα Η το οποίο αφορά τεχνικές προδιαγραφές και απαιτήσεις </w:t>
      </w:r>
      <w:r w:rsidR="00E90F94">
        <w:t>συντάσσεται</w:t>
      </w:r>
      <w:r w:rsidR="002C1F6A">
        <w:t xml:space="preserve"> στην αγγλική γλώσσα καθώς περιλαμβάνει ορολογίες διεθνώς αναγνωρισμένες. </w:t>
      </w:r>
      <w:r w:rsidR="00BD4DAD">
        <w:t>Δ</w:t>
      </w:r>
      <w:r w:rsidR="00B01270" w:rsidRPr="004E7B57">
        <w:t>ύνανται να υποβληθούν στην αγγλική γλώσσα τα</w:t>
      </w:r>
      <w:r w:rsidR="00D47E3F" w:rsidRPr="004E7B57">
        <w:t xml:space="preserve"> έγγραφα τεχνικής </w:t>
      </w:r>
      <w:r w:rsidR="0007290D" w:rsidRPr="004E7B57">
        <w:t xml:space="preserve">περιγραφής και </w:t>
      </w:r>
      <w:r w:rsidR="00D47E3F" w:rsidRPr="004E7B57">
        <w:t>τεκμηρίωσης κατασκευαστ</w:t>
      </w:r>
      <w:r w:rsidR="0007290D" w:rsidRPr="004E7B57">
        <w:t>ών</w:t>
      </w:r>
      <w:r w:rsidR="00D47E3F" w:rsidRPr="004E7B57">
        <w:t xml:space="preserve"> εξοπλισμού</w:t>
      </w:r>
      <w:r w:rsidR="00E90F94">
        <w:t xml:space="preserve"> </w:t>
      </w:r>
      <w:r w:rsidR="00D47E3F" w:rsidRPr="004E7B57">
        <w:t>(</w:t>
      </w:r>
      <w:r w:rsidR="00BD228E" w:rsidRPr="004E7B57">
        <w:t xml:space="preserve">π.χ. </w:t>
      </w:r>
      <w:r w:rsidR="00D47E3F" w:rsidRPr="004E7B57">
        <w:t>τεχνικά φυλλάδια, πιστοποιητικά – βεβαιώσεις κατασκευάστριας εταιρείας / προμηθευτή εξοπλισμού</w:t>
      </w:r>
      <w:r w:rsidR="00F82465" w:rsidRPr="004E7B57">
        <w:t xml:space="preserve"> / τρίτων </w:t>
      </w:r>
      <w:r w:rsidR="004A1883" w:rsidRPr="004E7B57">
        <w:t xml:space="preserve">πιστοποιημένων </w:t>
      </w:r>
      <w:r w:rsidR="00F82465" w:rsidRPr="004E7B57">
        <w:t>φορέων</w:t>
      </w:r>
      <w:r w:rsidR="00B01270" w:rsidRPr="004E7B57">
        <w:t xml:space="preserve">, </w:t>
      </w:r>
      <w:r w:rsidR="00D47E3F" w:rsidRPr="004E7B57">
        <w:t xml:space="preserve">εταιρικά σήματα, τεχνικά σχήματα, τεχνικά γραφήματα και διαγράμματα, μαθηματικό </w:t>
      </w:r>
      <w:proofErr w:type="spellStart"/>
      <w:r w:rsidR="00D47E3F" w:rsidRPr="004E7B57">
        <w:t>τυπολόγιο</w:t>
      </w:r>
      <w:proofErr w:type="spellEnd"/>
      <w:r w:rsidR="00D47E3F" w:rsidRPr="004E7B57">
        <w:t>, διεθνείς μονάδες μέτρησης, διεθνείς συντομογραφίες και ακρωνύμια</w:t>
      </w:r>
      <w:r w:rsidR="00B01270" w:rsidRPr="004E7B57">
        <w:t xml:space="preserve"> κ.</w:t>
      </w:r>
      <w:r w:rsidR="00F2748D" w:rsidRPr="004E7B57">
        <w:t>ά</w:t>
      </w:r>
      <w:r w:rsidR="00B01270" w:rsidRPr="004E7B57">
        <w:t>.)</w:t>
      </w:r>
      <w:r w:rsidR="00BD228E" w:rsidRPr="004E7B57">
        <w:t>.</w:t>
      </w:r>
      <w:r w:rsidR="00D47E3F" w:rsidRPr="004E7B57">
        <w:t xml:space="preserve"> </w:t>
      </w:r>
    </w:p>
    <w:p w14:paraId="651076F1" w14:textId="64ADD033" w:rsidR="000546D5" w:rsidRPr="004E7B57" w:rsidRDefault="002708A7" w:rsidP="00E76414">
      <w:r w:rsidRPr="004E7B57">
        <w:rPr>
          <w:b/>
          <w:bCs/>
        </w:rPr>
        <w:t>4.</w:t>
      </w:r>
      <w:r w:rsidR="00590FE6" w:rsidRPr="004E7B57">
        <w:rPr>
          <w:b/>
          <w:bCs/>
        </w:rPr>
        <w:t>3</w:t>
      </w:r>
      <w:r w:rsidRPr="004E7B57">
        <w:rPr>
          <w:b/>
          <w:bCs/>
        </w:rPr>
        <w:t>.</w:t>
      </w:r>
      <w:r w:rsidRPr="004E7B57">
        <w:t xml:space="preserve"> </w:t>
      </w:r>
      <w:r w:rsidR="00856EDC" w:rsidRPr="004E7B57">
        <w:t xml:space="preserve">Τα έγγραφα, που υποβάλλονται πρέπει να είναι: (α) στην περίπτωση εγγράφων του Δημοσίου, των Οργανισμών Τοπικής Αυτοδιοίκησης (Ο.Τ.Α.), ΝΠΔΔ, ΝΠΙΔ που ανήκουν στο κράτος, και των λοιπών νομικών προσώπων που προβλέπονται στη διάταξη της παρ. 2 του άρθρου 11 του ν. 2690/1999 (ΦΕΚ Α’ 45) ευκρινή φωτοαντίγραφα, που έχουν εκδοθεί από τις αρμόδιες υπηρεσίες ή των ακριβών αντιγράφων τους και (β) στην περίπτωση ιδιωτικών εγγράφων, ευκρινή φωτοαντίγραφα που έχουν επικυρωθεί από δικηγόρο, σύμφωνα µε τα οριζόμενα στις διατάξεις του ν. 4250/2014 (ΦΕΚ Α’ 74) και του ν. 2690/1999 (ΦΕΚ Α’ 45). </w:t>
      </w:r>
      <w:proofErr w:type="spellStart"/>
      <w:r w:rsidR="00856EDC" w:rsidRPr="004E7B57">
        <w:t>Ως</w:t>
      </w:r>
      <w:proofErr w:type="spellEnd"/>
      <w:r w:rsidR="00856EDC" w:rsidRPr="004E7B57">
        <w:t xml:space="preserve"> εκ τούτου, η επικύρωση από δικηγόρο απαιτείται μόνο για υποβληθέντα φωτοαντίγραφα ιδιωτικών εγγράφων.</w:t>
      </w:r>
    </w:p>
    <w:p w14:paraId="43AFFADB" w14:textId="618A0FDF" w:rsidR="000546D5" w:rsidRPr="004E7B57" w:rsidRDefault="002708A7" w:rsidP="00E76414">
      <w:r w:rsidRPr="004E7B57">
        <w:rPr>
          <w:b/>
          <w:bCs/>
        </w:rPr>
        <w:t>4.</w:t>
      </w:r>
      <w:r w:rsidR="00590FE6" w:rsidRPr="004E7B57">
        <w:rPr>
          <w:b/>
          <w:bCs/>
        </w:rPr>
        <w:t>4</w:t>
      </w:r>
      <w:r w:rsidRPr="004E7B57">
        <w:rPr>
          <w:b/>
          <w:bCs/>
        </w:rPr>
        <w:t>.</w:t>
      </w:r>
      <w:r w:rsidRPr="004E7B57">
        <w:t xml:space="preserve"> </w:t>
      </w:r>
      <w:r w:rsidR="00856EDC" w:rsidRPr="004E7B57">
        <w:t xml:space="preserve">Όλα τα δημόσια έγγραφα και δικαιολογητικά, που έχουν εκδοθεί από αλλοδαπές αρχές και κατατίθενται από τους Συμμετέχοντες στο πλαίσιο της Ανταγωνιστικής Διαδικασίας, απαιτείται να είναι: α) </w:t>
      </w:r>
      <w:proofErr w:type="spellStart"/>
      <w:r w:rsidR="00856EDC" w:rsidRPr="004E7B57">
        <w:t>νόμιμ</w:t>
      </w:r>
      <w:r w:rsidR="00E90F94">
        <w:t>ως</w:t>
      </w:r>
      <w:proofErr w:type="spellEnd"/>
      <w:r w:rsidR="00856EDC" w:rsidRPr="004E7B57">
        <w:t xml:space="preserve"> επικυρωμένα, είτε από το αρμόδιο Προξενείο της χώρας του Συμμετέχοντος, είτε με την επίθεση της σφραγίδας “</w:t>
      </w:r>
      <w:proofErr w:type="spellStart"/>
      <w:r w:rsidR="00856EDC" w:rsidRPr="004E7B57">
        <w:t>Apostille</w:t>
      </w:r>
      <w:proofErr w:type="spellEnd"/>
      <w:r w:rsidR="00856EDC" w:rsidRPr="004E7B57">
        <w:t>” σύμφωνα με τη συνθήκη της Χάγης της 5</w:t>
      </w:r>
      <w:r w:rsidR="00856EDC" w:rsidRPr="004E7B57">
        <w:rPr>
          <w:vertAlign w:val="superscript"/>
        </w:rPr>
        <w:t>ης</w:t>
      </w:r>
      <w:r w:rsidR="00856EDC" w:rsidRPr="004E7B57">
        <w:t xml:space="preserve"> Οκτωβρίου 1961 (που κυρώθηκε με το Ν. 1497/1984 - Α’ 188), ώστε να πιστοποιείται η γνησιότητά τους, β) μεταφρασμένα, είτε από </w:t>
      </w:r>
      <w:r w:rsidR="00E90F94">
        <w:t>π</w:t>
      </w:r>
      <w:r w:rsidR="00856EDC" w:rsidRPr="004E7B57">
        <w:t>ιστοποιημένο μεταφραστή (μέσω της Ενιαίας Ψηφιακής Πύλης gov.gr), είτε από το αρμόδιο προξενείο, είτε από δικηγόρο σύμφωνα με τα άρθρα 454 του Κώδικα Πολιτικής Δικονομίας και 36 του Κώδικα Δικηγόρων (ν. 4194/2013, Α’ 208).</w:t>
      </w:r>
    </w:p>
    <w:p w14:paraId="51376E56" w14:textId="04C92E74" w:rsidR="000546D5" w:rsidRPr="004E7B57" w:rsidRDefault="002708A7" w:rsidP="00E76414">
      <w:r w:rsidRPr="004E7B57">
        <w:rPr>
          <w:b/>
          <w:bCs/>
        </w:rPr>
        <w:t>4.</w:t>
      </w:r>
      <w:r w:rsidR="00590FE6" w:rsidRPr="004E7B57">
        <w:rPr>
          <w:b/>
          <w:bCs/>
        </w:rPr>
        <w:t>5</w:t>
      </w:r>
      <w:r w:rsidRPr="004E7B57">
        <w:rPr>
          <w:b/>
          <w:bCs/>
        </w:rPr>
        <w:t xml:space="preserve">. </w:t>
      </w:r>
      <w:r w:rsidR="00856EDC" w:rsidRPr="004E7B57">
        <w:t xml:space="preserve">Οι Ενδιαφερόμενοι/Συμμετέχοντες μπορούν να επικοινωνούν με τη </w:t>
      </w:r>
      <w:r w:rsidR="00CF21E9" w:rsidRPr="004E7B57">
        <w:t>Ρ.Α.Α.Ε.Υ.</w:t>
      </w:r>
      <w:r w:rsidR="00856EDC" w:rsidRPr="004E7B57">
        <w:t xml:space="preserve"> αποκλειστικά μέσω ηλεκτρονικού ταχυδρομείου, στη διεύθυνση ηλεκτρονικού ταχυδρομείου (email)</w:t>
      </w:r>
      <w:r w:rsidR="00856EDC" w:rsidRPr="004E7B57">
        <w:rPr>
          <w:color w:val="0000FF"/>
        </w:rPr>
        <w:t xml:space="preserve"> </w:t>
      </w:r>
      <w:hyperlink r:id="rId13" w:history="1">
        <w:r w:rsidR="00272D98" w:rsidRPr="00186865">
          <w:rPr>
            <w:rStyle w:val="-"/>
            <w:lang w:val="en-US"/>
          </w:rPr>
          <w:t>tenderres</w:t>
        </w:r>
        <w:r w:rsidR="00272D98" w:rsidRPr="00186865">
          <w:rPr>
            <w:rStyle w:val="-"/>
          </w:rPr>
          <w:t>@</w:t>
        </w:r>
        <w:r w:rsidR="00272D98" w:rsidRPr="00186865">
          <w:rPr>
            <w:rStyle w:val="-"/>
            <w:lang w:val="en-US"/>
          </w:rPr>
          <w:t>rae</w:t>
        </w:r>
        <w:r w:rsidR="00272D98" w:rsidRPr="00186865">
          <w:rPr>
            <w:rStyle w:val="-"/>
          </w:rPr>
          <w:t>.</w:t>
        </w:r>
        <w:r w:rsidR="00272D98" w:rsidRPr="00186865">
          <w:rPr>
            <w:rStyle w:val="-"/>
            <w:lang w:val="en-US"/>
          </w:rPr>
          <w:t>gr</w:t>
        </w:r>
      </w:hyperlink>
      <w:r w:rsidR="00272D98" w:rsidRPr="00C827E0">
        <w:rPr>
          <w:color w:val="0000FF"/>
        </w:rPr>
        <w:t xml:space="preserve"> </w:t>
      </w:r>
      <w:r w:rsidR="00856EDC" w:rsidRPr="004E7B57">
        <w:t>με θέμα [</w:t>
      </w:r>
      <w:r w:rsidR="007028B7" w:rsidRPr="004E7B57">
        <w:t xml:space="preserve">ΠΡΟΚΗΡΥΞΗ </w:t>
      </w:r>
      <w:r w:rsidR="00CF21E9" w:rsidRPr="004E7B57">
        <w:t>Ρ.Α.Α.Ε.Υ.</w:t>
      </w:r>
      <w:r w:rsidR="007028B7" w:rsidRPr="004E7B57">
        <w:t xml:space="preserve"> </w:t>
      </w:r>
      <w:r w:rsidR="00082A29">
        <w:t>1</w:t>
      </w:r>
      <w:r w:rsidR="00082A29" w:rsidRPr="004E7B57">
        <w:t>/</w:t>
      </w:r>
      <w:r w:rsidR="00856EDC" w:rsidRPr="004E7B57">
        <w:t>202</w:t>
      </w:r>
      <w:r w:rsidR="001D391F" w:rsidRPr="004E7B57">
        <w:t>3</w:t>
      </w:r>
      <w:r w:rsidR="00856EDC" w:rsidRPr="004E7B57">
        <w:t>].</w:t>
      </w:r>
    </w:p>
    <w:p w14:paraId="09CB2BF1" w14:textId="77777777" w:rsidR="000546D5" w:rsidRDefault="000546D5" w:rsidP="00E76414">
      <w:pPr>
        <w:pStyle w:val="a3"/>
      </w:pPr>
    </w:p>
    <w:p w14:paraId="3D267369" w14:textId="77777777" w:rsidR="00DF087B" w:rsidRDefault="00DF087B" w:rsidP="00E76414">
      <w:pPr>
        <w:pStyle w:val="a3"/>
      </w:pPr>
    </w:p>
    <w:p w14:paraId="526165D6" w14:textId="77777777" w:rsidR="000546D5" w:rsidRPr="00733B6B" w:rsidRDefault="00856EDC" w:rsidP="00733B6B">
      <w:pPr>
        <w:jc w:val="center"/>
        <w:rPr>
          <w:b/>
          <w:bCs/>
        </w:rPr>
      </w:pPr>
      <w:r w:rsidRPr="00733B6B">
        <w:rPr>
          <w:b/>
          <w:bCs/>
        </w:rPr>
        <w:lastRenderedPageBreak/>
        <w:t>Άρθρο 5</w:t>
      </w:r>
    </w:p>
    <w:p w14:paraId="7D8C9FCD" w14:textId="77777777" w:rsidR="000546D5" w:rsidRPr="00733B6B" w:rsidRDefault="00856EDC" w:rsidP="00733B6B">
      <w:pPr>
        <w:jc w:val="center"/>
        <w:rPr>
          <w:b/>
          <w:bCs/>
        </w:rPr>
      </w:pPr>
      <w:r w:rsidRPr="00733B6B">
        <w:rPr>
          <w:b/>
          <w:bCs/>
        </w:rPr>
        <w:t>Τεκμήριο από τη συμμετοχή στην Ανταγωνιστική Διαδικασία</w:t>
      </w:r>
    </w:p>
    <w:p w14:paraId="1F1DF52B" w14:textId="77777777" w:rsidR="006D0359" w:rsidRPr="004E7B57" w:rsidRDefault="006D0359" w:rsidP="00E76414"/>
    <w:p w14:paraId="16DB6C3E" w14:textId="1D9E991E" w:rsidR="000546D5" w:rsidRPr="004E7B57" w:rsidRDefault="002708A7" w:rsidP="00E76414">
      <w:r w:rsidRPr="004E7B57">
        <w:rPr>
          <w:b/>
          <w:bCs/>
        </w:rPr>
        <w:t xml:space="preserve">5.1. </w:t>
      </w:r>
      <w:r w:rsidR="00856EDC" w:rsidRPr="004E7B57">
        <w:t>Οι Συμμετέχοντες στην Ανταγωνιστική Διαδικασία αποδέχονται ρητά και ανεπιφύλακτα όλους τους όρους της παρούσας Προκήρυξης. Η συμμετοχή στην Ανταγωνιστική Διαδικασία συνιστά τεκμήριο, άλλως εξώδικη ομολογία, ότι ο Συμμετέχων έχει λάβει πλήρη γνώση της ισχύουσας νομοθεσίας και της παρούσας Προκήρυξης και αποδέχεται ανεπιφύλακτα όλους τους όρους και τις διατάξεις αυτής.</w:t>
      </w:r>
    </w:p>
    <w:p w14:paraId="138AAE1A" w14:textId="38AE3210" w:rsidR="000546D5" w:rsidRPr="004E7B57" w:rsidRDefault="002708A7" w:rsidP="00E76414">
      <w:r w:rsidRPr="004E7B57">
        <w:rPr>
          <w:b/>
          <w:bCs/>
        </w:rPr>
        <w:t xml:space="preserve">5.2. </w:t>
      </w:r>
      <w:r w:rsidR="00856EDC" w:rsidRPr="004E7B57">
        <w:t xml:space="preserve">Η συμμετοχή στην Ανταγωνιστική Διαδικασία συνιστά τεκμήριο ότι ο Συμμετέχων γνωρίζει και αποδέχεται τις υποχρεώσεις για την υλοποίηση και λειτουργία του </w:t>
      </w:r>
      <w:r w:rsidR="0051228D" w:rsidRPr="004E7B57">
        <w:t>Σ.Α.Η.Ε.</w:t>
      </w:r>
      <w:r w:rsidR="00856EDC" w:rsidRPr="004E7B57">
        <w:t xml:space="preserve">, </w:t>
      </w:r>
      <w:r w:rsidR="00D9209F" w:rsidRPr="004E7B57">
        <w:t xml:space="preserve">κατά τα οριζόμενα </w:t>
      </w:r>
      <w:r w:rsidR="00D9209F">
        <w:t xml:space="preserve">στο ν. 4001/2011, </w:t>
      </w:r>
      <w:r w:rsidR="00D9209F" w:rsidRPr="004E7B57">
        <w:t>στην Υπουργική Απόφαση και στην παρούσα Προκήρυξη</w:t>
      </w:r>
      <w:r w:rsidR="00D9209F">
        <w:t xml:space="preserve"> και</w:t>
      </w:r>
      <w:r w:rsidR="00D9209F" w:rsidRPr="004E7B57">
        <w:t xml:space="preserve"> </w:t>
      </w:r>
      <w:r w:rsidR="00856EDC" w:rsidRPr="004E7B57">
        <w:t>εντός των</w:t>
      </w:r>
      <w:r w:rsidR="00BD228E" w:rsidRPr="004E7B57">
        <w:t xml:space="preserve"> </w:t>
      </w:r>
      <w:r w:rsidR="00856EDC" w:rsidRPr="004E7B57">
        <w:t xml:space="preserve">οριζόμενων στην παρούσα Προκήρυξη προθεσμιών, καθώς </w:t>
      </w:r>
      <w:r w:rsidR="00A47C30">
        <w:t xml:space="preserve">και τις προϋποθέσεις για τη χορήγηση </w:t>
      </w:r>
      <w:r w:rsidR="00894383" w:rsidRPr="004E7B57">
        <w:t xml:space="preserve">χορήγησης της Επενδυτικής </w:t>
      </w:r>
      <w:r w:rsidR="00A47C30">
        <w:t xml:space="preserve">και Λειτουργικής </w:t>
      </w:r>
      <w:r w:rsidR="00894383" w:rsidRPr="004E7B57">
        <w:t>Ενίσχυσης</w:t>
      </w:r>
      <w:r w:rsidR="00A47C30">
        <w:t>.</w:t>
      </w:r>
    </w:p>
    <w:p w14:paraId="15506370" w14:textId="77777777" w:rsidR="00B47603" w:rsidRPr="004E7B57" w:rsidRDefault="00B47603" w:rsidP="00E76414">
      <w:pPr>
        <w:pStyle w:val="2"/>
      </w:pPr>
    </w:p>
    <w:p w14:paraId="764D80CE" w14:textId="7CE8638D" w:rsidR="000546D5" w:rsidRPr="00733B6B" w:rsidRDefault="00856EDC" w:rsidP="00733B6B">
      <w:pPr>
        <w:jc w:val="center"/>
        <w:rPr>
          <w:b/>
          <w:bCs/>
          <w:sz w:val="24"/>
          <w:szCs w:val="24"/>
        </w:rPr>
      </w:pPr>
      <w:r w:rsidRPr="00733B6B">
        <w:rPr>
          <w:b/>
          <w:bCs/>
          <w:sz w:val="24"/>
          <w:szCs w:val="24"/>
        </w:rPr>
        <w:t>ΚΕΦΑΛΑΙΟ Β’</w:t>
      </w:r>
    </w:p>
    <w:p w14:paraId="16534F3B" w14:textId="088911A8" w:rsidR="000546D5" w:rsidRPr="00733B6B" w:rsidRDefault="00CA73C8" w:rsidP="00733B6B">
      <w:pPr>
        <w:jc w:val="center"/>
        <w:rPr>
          <w:b/>
          <w:bCs/>
          <w:sz w:val="24"/>
          <w:szCs w:val="24"/>
        </w:rPr>
      </w:pPr>
      <w:r w:rsidRPr="00733B6B">
        <w:rPr>
          <w:b/>
          <w:bCs/>
          <w:sz w:val="24"/>
          <w:szCs w:val="24"/>
        </w:rPr>
        <w:t>Όροι</w:t>
      </w:r>
      <w:r w:rsidR="005D1A14" w:rsidRPr="00733B6B">
        <w:rPr>
          <w:b/>
          <w:bCs/>
          <w:sz w:val="24"/>
          <w:szCs w:val="24"/>
        </w:rPr>
        <w:t xml:space="preserve">, </w:t>
      </w:r>
      <w:r w:rsidRPr="00733B6B">
        <w:rPr>
          <w:b/>
          <w:bCs/>
          <w:sz w:val="24"/>
          <w:szCs w:val="24"/>
        </w:rPr>
        <w:t>π</w:t>
      </w:r>
      <w:r w:rsidR="00856EDC" w:rsidRPr="00733B6B">
        <w:rPr>
          <w:b/>
          <w:bCs/>
          <w:sz w:val="24"/>
          <w:szCs w:val="24"/>
        </w:rPr>
        <w:t xml:space="preserve">ροϋποθέσεις </w:t>
      </w:r>
      <w:r w:rsidR="005D1A14" w:rsidRPr="00733B6B">
        <w:rPr>
          <w:b/>
          <w:bCs/>
          <w:sz w:val="24"/>
          <w:szCs w:val="24"/>
        </w:rPr>
        <w:t xml:space="preserve">και κανόνες </w:t>
      </w:r>
      <w:r w:rsidRPr="00733B6B">
        <w:rPr>
          <w:b/>
          <w:bCs/>
          <w:sz w:val="24"/>
          <w:szCs w:val="24"/>
        </w:rPr>
        <w:t>σ</w:t>
      </w:r>
      <w:r w:rsidR="00856EDC" w:rsidRPr="00733B6B">
        <w:rPr>
          <w:b/>
          <w:bCs/>
          <w:sz w:val="24"/>
          <w:szCs w:val="24"/>
        </w:rPr>
        <w:t>υμμετοχής στην Ανταγωνιστική Διαδικασία</w:t>
      </w:r>
    </w:p>
    <w:p w14:paraId="15134F98" w14:textId="77777777" w:rsidR="000546D5" w:rsidRPr="004E7B57" w:rsidRDefault="000546D5" w:rsidP="00E76414">
      <w:pPr>
        <w:pStyle w:val="a3"/>
      </w:pPr>
    </w:p>
    <w:p w14:paraId="20E146CC" w14:textId="77777777" w:rsidR="000546D5" w:rsidRPr="00733B6B" w:rsidRDefault="00856EDC" w:rsidP="00733B6B">
      <w:pPr>
        <w:jc w:val="center"/>
        <w:rPr>
          <w:b/>
          <w:bCs/>
        </w:rPr>
      </w:pPr>
      <w:r w:rsidRPr="00733B6B">
        <w:rPr>
          <w:b/>
          <w:bCs/>
        </w:rPr>
        <w:t>Άρθρο 6</w:t>
      </w:r>
    </w:p>
    <w:p w14:paraId="7D65CC02" w14:textId="7E1770DD" w:rsidR="000546D5" w:rsidRPr="00733B6B" w:rsidRDefault="00856EDC" w:rsidP="00733B6B">
      <w:pPr>
        <w:jc w:val="center"/>
        <w:rPr>
          <w:b/>
          <w:bCs/>
        </w:rPr>
      </w:pPr>
      <w:r w:rsidRPr="00733B6B">
        <w:rPr>
          <w:b/>
          <w:bCs/>
        </w:rPr>
        <w:t xml:space="preserve">Δικαίωμα </w:t>
      </w:r>
      <w:r w:rsidR="009A0818" w:rsidRPr="00733B6B">
        <w:rPr>
          <w:b/>
          <w:bCs/>
        </w:rPr>
        <w:t xml:space="preserve">και προϋποθέσεις </w:t>
      </w:r>
      <w:r w:rsidRPr="00733B6B">
        <w:rPr>
          <w:b/>
          <w:bCs/>
        </w:rPr>
        <w:t>συμμετοχής στην Ανταγωνιστική Διαδικασία</w:t>
      </w:r>
    </w:p>
    <w:p w14:paraId="6CD3B730" w14:textId="77777777" w:rsidR="003E30BB" w:rsidRPr="004E7B57" w:rsidRDefault="003E30BB" w:rsidP="00E76414"/>
    <w:p w14:paraId="45506901" w14:textId="0368AD3F" w:rsidR="000546D5" w:rsidRPr="004E7B57" w:rsidRDefault="002708A7" w:rsidP="00E76414">
      <w:pPr>
        <w:rPr>
          <w:bCs/>
        </w:rPr>
      </w:pPr>
      <w:r w:rsidRPr="004E7B57">
        <w:rPr>
          <w:b/>
          <w:bCs/>
        </w:rPr>
        <w:t>6.1.</w:t>
      </w:r>
      <w:r w:rsidRPr="004E7B57">
        <w:t xml:space="preserve"> </w:t>
      </w:r>
      <w:r w:rsidR="00222A52" w:rsidRPr="004E7B57">
        <w:t xml:space="preserve">Στην Ανταγωνιστική Διαδικασία δικαιούνται να συμμετέχουν φυσικά ή νομικά πρόσωπα, που κατά το χρόνο υποβολής της Αίτησης Συμμετοχής έχουν συσταθεί νόμιμα και εδρεύουν σε κράτος μέλος της Ευρωπαϊκής Ένωσης, του Ευρωπαϊκού Οικονομικού Χώρου (Ε.Ο.Χ.) και σε χώρες της Ενεργειακής Κοινότητας ή σε τρίτες χώρες, εφόσον σχετικό δικαίωμα απορρέει από διμερή συμφωνία που η χώρα έχει συνάψει με την Ελλάδα ή την Ευρωπαϊκή Ένωση, ή έχουν συστήσει νομίμως υποκατάστημα στην Ελλάδα, </w:t>
      </w:r>
      <w:r w:rsidR="00C50091">
        <w:t>οι οποίοι διαθέτουν Άδεια Αποθήκευσης Ηλεκτρικής Ενέργειας για</w:t>
      </w:r>
      <w:r w:rsidR="00C50091" w:rsidRPr="004E7B57">
        <w:t xml:space="preserve"> </w:t>
      </w:r>
      <w:r w:rsidR="0051228D" w:rsidRPr="004E7B57">
        <w:t>Σ.Α.Η.Ε.</w:t>
      </w:r>
      <w:r w:rsidR="009A7CFC" w:rsidRPr="004E7B57">
        <w:t xml:space="preserve"> </w:t>
      </w:r>
      <w:r w:rsidR="008D28CD">
        <w:t xml:space="preserve">ή αντίστοιχη άδεια </w:t>
      </w:r>
      <w:r w:rsidR="00B245F1">
        <w:t>η οποία εκδίδεται από τις αρμόδιες αρχές της Βουλγαρίας σχετικά με τους Σ.Α.Η.Ε. που εγκαθίστανται στην Βουλγαρία σύμφωνα με την παρ. 1.3 (</w:t>
      </w:r>
      <w:r w:rsidR="0009115A">
        <w:t>γ</w:t>
      </w:r>
      <w:r w:rsidR="00B245F1">
        <w:t>) της παρούσας Προκήρυξης</w:t>
      </w:r>
      <w:r w:rsidR="00E212ED" w:rsidRPr="00E212ED">
        <w:t>,</w:t>
      </w:r>
      <w:r w:rsidR="008D28CD">
        <w:t xml:space="preserve"> </w:t>
      </w:r>
      <w:r w:rsidR="00FE6BCF">
        <w:t xml:space="preserve">και </w:t>
      </w:r>
      <w:r w:rsidR="00C50091">
        <w:t>οι οποίοι</w:t>
      </w:r>
      <w:r w:rsidR="009A7CFC" w:rsidRPr="004E7B57">
        <w:t xml:space="preserve"> </w:t>
      </w:r>
      <w:r w:rsidR="00974177">
        <w:rPr>
          <w:bCs/>
        </w:rPr>
        <w:t xml:space="preserve">δεσμεύονται ότι κατά την έναρξη λειτουργίας </w:t>
      </w:r>
      <w:r w:rsidR="00A47C30">
        <w:rPr>
          <w:bCs/>
        </w:rPr>
        <w:t xml:space="preserve">του Σ.Α.Η.Ε. </w:t>
      </w:r>
      <w:r w:rsidR="00974177">
        <w:rPr>
          <w:bCs/>
        </w:rPr>
        <w:t xml:space="preserve">θα πληρούν </w:t>
      </w:r>
      <w:r w:rsidR="009A7CFC" w:rsidRPr="00974177">
        <w:rPr>
          <w:bCs/>
        </w:rPr>
        <w:t xml:space="preserve">τις </w:t>
      </w:r>
      <w:r w:rsidR="00A47C30">
        <w:rPr>
          <w:bCs/>
        </w:rPr>
        <w:t>υποχρεώσεις, τις τεχνικές προδιαγραφές και απαιτήσεις</w:t>
      </w:r>
      <w:r w:rsidR="009A7CFC" w:rsidRPr="00974177">
        <w:rPr>
          <w:bCs/>
        </w:rPr>
        <w:t xml:space="preserve"> τ</w:t>
      </w:r>
      <w:r w:rsidR="007028B7" w:rsidRPr="00974177">
        <w:rPr>
          <w:bCs/>
        </w:rPr>
        <w:t xml:space="preserve">ου </w:t>
      </w:r>
      <w:r w:rsidR="00C50091" w:rsidRPr="00397212">
        <w:rPr>
          <w:bCs/>
        </w:rPr>
        <w:t xml:space="preserve">άρθρου </w:t>
      </w:r>
      <w:r w:rsidR="00A47C30" w:rsidRPr="00397212">
        <w:rPr>
          <w:bCs/>
        </w:rPr>
        <w:t>1</w:t>
      </w:r>
      <w:r w:rsidR="00397212" w:rsidRPr="00397212">
        <w:rPr>
          <w:bCs/>
        </w:rPr>
        <w:t>5</w:t>
      </w:r>
      <w:r w:rsidR="00A47C30" w:rsidRPr="004E7B57">
        <w:rPr>
          <w:bCs/>
        </w:rPr>
        <w:t xml:space="preserve"> </w:t>
      </w:r>
      <w:r w:rsidR="00755B98" w:rsidRPr="004E7B57">
        <w:rPr>
          <w:bCs/>
        </w:rPr>
        <w:t xml:space="preserve">και </w:t>
      </w:r>
      <w:r w:rsidR="007028B7" w:rsidRPr="004E7B57">
        <w:rPr>
          <w:bCs/>
        </w:rPr>
        <w:t>τ</w:t>
      </w:r>
      <w:r w:rsidR="00E80682" w:rsidRPr="004E7B57">
        <w:rPr>
          <w:bCs/>
        </w:rPr>
        <w:t>ου</w:t>
      </w:r>
      <w:r w:rsidR="007028B7" w:rsidRPr="004E7B57">
        <w:rPr>
          <w:bCs/>
        </w:rPr>
        <w:t xml:space="preserve"> </w:t>
      </w:r>
      <w:r w:rsidR="007028B7" w:rsidRPr="00FE6BCF">
        <w:rPr>
          <w:bCs/>
        </w:rPr>
        <w:t>Παραρτ</w:t>
      </w:r>
      <w:r w:rsidR="00E80682" w:rsidRPr="00FE6BCF">
        <w:rPr>
          <w:bCs/>
        </w:rPr>
        <w:t>ήματος</w:t>
      </w:r>
      <w:r w:rsidR="007028B7" w:rsidRPr="00FE6BCF">
        <w:rPr>
          <w:bCs/>
        </w:rPr>
        <w:t xml:space="preserve"> Η</w:t>
      </w:r>
      <w:r w:rsidR="007028B7" w:rsidRPr="004E7B57">
        <w:rPr>
          <w:bCs/>
        </w:rPr>
        <w:t xml:space="preserve"> </w:t>
      </w:r>
      <w:r w:rsidR="00222A52" w:rsidRPr="004E7B57">
        <w:rPr>
          <w:bCs/>
        </w:rPr>
        <w:t>της Προκήρυξης.</w:t>
      </w:r>
    </w:p>
    <w:p w14:paraId="7D470FA1" w14:textId="546C7945" w:rsidR="000546D5" w:rsidRPr="004E7B57" w:rsidRDefault="002708A7" w:rsidP="00E76414">
      <w:r w:rsidRPr="004E7B57">
        <w:rPr>
          <w:b/>
          <w:bCs/>
        </w:rPr>
        <w:t>6.2.</w:t>
      </w:r>
      <w:r w:rsidRPr="004E7B57">
        <w:t xml:space="preserve"> </w:t>
      </w:r>
      <w:r w:rsidR="00856EDC" w:rsidRPr="004E7B57">
        <w:t>Η συμμετοχή στην Ανταγωνιστική Διαδικασία γίνεται με ευθύνη του Συμμετέχοντος, στον οποίο δεν παρέχεται εκ μόνης της συμμετοχής του οποιοδήποτε δικαίωμα αποζημίωσης. Ειδικότερα, οι Συμμετέχοντες δεν δικαιούνται καμία αποζημίωση σε περίπτωση αναβολής, ματαίωσης ή ακύρωσης της Ανταγωνιστικής Διαδικασίας. Διατύπωση σχολίων ή αιρέσεων ή όρων ή επιφυλάξεων θεωρούνται ως επιφυλάξεις επί των όρων της Ανταγωνιστικής Διαδικασίας και αποτελούν αιτία αποκλεισμού του Συμμετέχοντος που τις διατυπώνει.</w:t>
      </w:r>
    </w:p>
    <w:p w14:paraId="2A2F8874" w14:textId="67EB642B" w:rsidR="000546D5" w:rsidRPr="004E7B57" w:rsidRDefault="002708A7" w:rsidP="00E76414">
      <w:r w:rsidRPr="004E7B57">
        <w:rPr>
          <w:b/>
          <w:bCs/>
        </w:rPr>
        <w:t>6.3.</w:t>
      </w:r>
      <w:r w:rsidRPr="004E7B57">
        <w:t xml:space="preserve"> </w:t>
      </w:r>
      <w:r w:rsidR="00856EDC" w:rsidRPr="004E7B57">
        <w:t xml:space="preserve">Η </w:t>
      </w:r>
      <w:r w:rsidR="00CF21E9" w:rsidRPr="004E7B57">
        <w:t>Ρ.Α.Α.Ε.Υ.</w:t>
      </w:r>
      <w:r w:rsidR="00856EDC" w:rsidRPr="004E7B57">
        <w:t xml:space="preserve"> δύναται να κάνει ενδεικτικούς ελέγχους επαλήθευσης των στοιχείων που θα υποβληθούν από τους Συμμετέχοντες, καθώς και να επικοινωνήσει με τους αρμόδιους Διαχειριστές και τις αρμόδιες </w:t>
      </w:r>
      <w:proofErr w:type="spellStart"/>
      <w:r w:rsidR="00856EDC" w:rsidRPr="004E7B57">
        <w:t>αδειοδοτικές</w:t>
      </w:r>
      <w:proofErr w:type="spellEnd"/>
      <w:r w:rsidR="00856EDC" w:rsidRPr="004E7B57">
        <w:t xml:space="preserve"> αρχές και υπηρεσίες για την επαλήθευση του δικαιώματος συμμετοχής του Συμμετέχοντος.</w:t>
      </w:r>
    </w:p>
    <w:p w14:paraId="7C929271" w14:textId="3B90248C" w:rsidR="000546D5" w:rsidRDefault="002708A7" w:rsidP="009B5ABA">
      <w:r w:rsidRPr="009B5ABA">
        <w:rPr>
          <w:b/>
          <w:bCs/>
        </w:rPr>
        <w:t>6.4.</w:t>
      </w:r>
      <w:r w:rsidRPr="004E7B57">
        <w:t xml:space="preserve"> </w:t>
      </w:r>
      <w:r w:rsidR="00856EDC" w:rsidRPr="004E7B57">
        <w:t>Μετά το πέρας της καταληκτικής ημερομηνίας υποβολής της Αίτησης Συμμετοχής και των απαιτούμενων δικαιολογητικών εγγράφων, οι Συμμετέχοντες δεν έχουν το δικαίωμα προσκόμισης συμπληρωματικών ή τροποποιητικών στοιχείων, παρεκτός των συμπληρωματικών στοιχείων που τυχόν θα ζητηθούν από την Αρχή.</w:t>
      </w:r>
    </w:p>
    <w:p w14:paraId="544150BA" w14:textId="77777777" w:rsidR="002E557B" w:rsidRPr="004E7B57" w:rsidRDefault="002E557B" w:rsidP="009B5ABA">
      <w:pPr>
        <w:rPr>
          <w:b/>
          <w:bCs/>
        </w:rPr>
      </w:pPr>
    </w:p>
    <w:p w14:paraId="1E4B6FC2" w14:textId="77777777" w:rsidR="009A7CFC" w:rsidRPr="004E7B57" w:rsidRDefault="009A7CFC" w:rsidP="00E76414">
      <w:pPr>
        <w:pStyle w:val="a4"/>
      </w:pPr>
    </w:p>
    <w:p w14:paraId="79035DCE" w14:textId="77777777" w:rsidR="009A7CFC" w:rsidRPr="00733B6B" w:rsidRDefault="009A7CFC" w:rsidP="00733B6B">
      <w:pPr>
        <w:jc w:val="center"/>
        <w:rPr>
          <w:b/>
          <w:bCs/>
        </w:rPr>
      </w:pPr>
      <w:r w:rsidRPr="00733B6B">
        <w:rPr>
          <w:b/>
          <w:bCs/>
        </w:rPr>
        <w:lastRenderedPageBreak/>
        <w:t>Άρθρο 7</w:t>
      </w:r>
    </w:p>
    <w:p w14:paraId="7AFC5574" w14:textId="0AD1C0C2" w:rsidR="009A7CFC" w:rsidRPr="00733B6B" w:rsidRDefault="00B35460" w:rsidP="00733B6B">
      <w:pPr>
        <w:jc w:val="center"/>
        <w:rPr>
          <w:b/>
          <w:bCs/>
        </w:rPr>
      </w:pPr>
      <w:r w:rsidRPr="00733B6B">
        <w:rPr>
          <w:b/>
          <w:bCs/>
        </w:rPr>
        <w:t xml:space="preserve">Τιμή εκκίνησης Ανταγωνιστικής Διαδικασίας - </w:t>
      </w:r>
      <w:r w:rsidR="00CA73C8" w:rsidRPr="00733B6B">
        <w:rPr>
          <w:b/>
          <w:bCs/>
        </w:rPr>
        <w:t>Δ</w:t>
      </w:r>
      <w:r w:rsidR="009A7CFC" w:rsidRPr="00733B6B">
        <w:rPr>
          <w:b/>
          <w:bCs/>
        </w:rPr>
        <w:t>ιασφάλιση συνθηκών ανταγωνισμού</w:t>
      </w:r>
    </w:p>
    <w:p w14:paraId="0BCA2186" w14:textId="77777777" w:rsidR="003E30BB" w:rsidRPr="004E7B57" w:rsidRDefault="003E30BB" w:rsidP="00E76414"/>
    <w:p w14:paraId="45B09904" w14:textId="12BAE1B1" w:rsidR="004D6DB1" w:rsidRPr="004E7B57" w:rsidRDefault="009B723C" w:rsidP="00E76414">
      <w:r w:rsidRPr="004E7B57">
        <w:rPr>
          <w:b/>
          <w:bCs/>
        </w:rPr>
        <w:t>7.1.</w:t>
      </w:r>
      <w:r w:rsidRPr="004E7B57">
        <w:t xml:space="preserve"> </w:t>
      </w:r>
      <w:r w:rsidR="004D6DB1" w:rsidRPr="004E7B57">
        <w:t xml:space="preserve">Η ανώτατη επιτρεπόμενη τιμή προσφοράς </w:t>
      </w:r>
      <w:r w:rsidR="006222F6" w:rsidRPr="004E7B57">
        <w:t>της</w:t>
      </w:r>
      <w:r w:rsidR="0033600E" w:rsidRPr="004E7B57">
        <w:t xml:space="preserve"> </w:t>
      </w:r>
      <w:r w:rsidR="00F5429E" w:rsidRPr="004E7B57">
        <w:t xml:space="preserve">παρούσας </w:t>
      </w:r>
      <w:r w:rsidR="004D6DB1" w:rsidRPr="004E7B57">
        <w:t>Ανταγωνιστική</w:t>
      </w:r>
      <w:r w:rsidR="006222F6" w:rsidRPr="004E7B57">
        <w:t>ς</w:t>
      </w:r>
      <w:r w:rsidR="004D6DB1" w:rsidRPr="004E7B57">
        <w:t xml:space="preserve"> Διαδικασία</w:t>
      </w:r>
      <w:r w:rsidR="006222F6" w:rsidRPr="004E7B57">
        <w:t>ς</w:t>
      </w:r>
      <w:r w:rsidR="004D6DB1" w:rsidRPr="004E7B57">
        <w:t xml:space="preserve"> καθορίζεται,</w:t>
      </w:r>
      <w:r w:rsidR="00F2748D" w:rsidRPr="004E7B57">
        <w:t xml:space="preserve"> </w:t>
      </w:r>
      <w:r w:rsidR="004D6DB1" w:rsidRPr="004E7B57">
        <w:t xml:space="preserve">σε </w:t>
      </w:r>
      <w:r w:rsidR="0053115E" w:rsidRPr="004E7B57">
        <w:t xml:space="preserve">ευρώ </w:t>
      </w:r>
      <w:proofErr w:type="spellStart"/>
      <w:r w:rsidR="0053115E" w:rsidRPr="004E7B57">
        <w:t>εκατόν</w:t>
      </w:r>
      <w:proofErr w:type="spellEnd"/>
      <w:r w:rsidR="0053115E" w:rsidRPr="004E7B57">
        <w:t xml:space="preserve"> δεκα</w:t>
      </w:r>
      <w:r w:rsidR="00F2748D" w:rsidRPr="004E7B57">
        <w:t xml:space="preserve">πέντε </w:t>
      </w:r>
      <w:r w:rsidR="0053115E" w:rsidRPr="004E7B57">
        <w:t xml:space="preserve">χιλιάδες ανά μεγαβάτ ανά έτος </w:t>
      </w:r>
      <w:r w:rsidR="004D6DB1" w:rsidRPr="004E7B57">
        <w:t xml:space="preserve">(€ </w:t>
      </w:r>
      <w:r w:rsidR="00F2748D" w:rsidRPr="004E7B57">
        <w:t>115</w:t>
      </w:r>
      <w:r w:rsidR="004D6DB1" w:rsidRPr="004E7B57">
        <w:t>.000,0</w:t>
      </w:r>
      <w:r w:rsidR="00800FA5" w:rsidRPr="004E7B57">
        <w:t xml:space="preserve">0 </w:t>
      </w:r>
      <w:r w:rsidR="004D6DB1" w:rsidRPr="004E7B57">
        <w:t>/MW/έτος).</w:t>
      </w:r>
    </w:p>
    <w:p w14:paraId="49431E9E" w14:textId="2D5F271D" w:rsidR="00582616" w:rsidRPr="004E7B57" w:rsidRDefault="009B723C" w:rsidP="00E76414">
      <w:r w:rsidRPr="004E7B57">
        <w:rPr>
          <w:b/>
          <w:bCs/>
        </w:rPr>
        <w:t>7.2.</w:t>
      </w:r>
      <w:r w:rsidRPr="004E7B57">
        <w:t xml:space="preserve"> </w:t>
      </w:r>
      <w:r w:rsidR="004D6DB1" w:rsidRPr="004E7B57">
        <w:t xml:space="preserve">Για </w:t>
      </w:r>
      <w:r w:rsidR="00856EDC" w:rsidRPr="004E7B57">
        <w:t xml:space="preserve">την επίτευξη ικανοποιητικού επιπέδου ανταγωνισμού για τη διενέργεια της Ανταγωνιστικής Διαδικασίας, </w:t>
      </w:r>
      <w:r w:rsidR="00582616" w:rsidRPr="004E7B57">
        <w:t>τίθενται οι ακόλουθ</w:t>
      </w:r>
      <w:r w:rsidR="008D28CD">
        <w:t xml:space="preserve">οι κανόνες και </w:t>
      </w:r>
      <w:r w:rsidR="00707B73">
        <w:t>προϋποθέσεις</w:t>
      </w:r>
      <w:r w:rsidR="00582616" w:rsidRPr="004E7B57">
        <w:t>:</w:t>
      </w:r>
    </w:p>
    <w:p w14:paraId="72B08576" w14:textId="77777777" w:rsidR="008D28CD" w:rsidRDefault="00582616" w:rsidP="00E67595">
      <w:pPr>
        <w:pStyle w:val="a4"/>
        <w:numPr>
          <w:ilvl w:val="0"/>
          <w:numId w:val="12"/>
        </w:numPr>
        <w:ind w:left="993" w:hanging="426"/>
      </w:pPr>
      <w:r w:rsidRPr="004E7B57">
        <w:t>Το Ελάχιστο Ποσοστό Ανταγωνισμού</w:t>
      </w:r>
      <w:r w:rsidR="000D2F20" w:rsidRPr="004E7B57">
        <w:t xml:space="preserve"> της </w:t>
      </w:r>
      <w:r w:rsidRPr="004E7B57">
        <w:t>Ανταγωνιστικής Διαδικασίας καθορίζεται σε</w:t>
      </w:r>
      <w:r w:rsidR="00F2748D" w:rsidRPr="004E7B57">
        <w:t xml:space="preserve"> </w:t>
      </w:r>
      <w:r w:rsidR="0033600E" w:rsidRPr="004E7B57">
        <w:t xml:space="preserve">εκατό </w:t>
      </w:r>
      <w:r w:rsidRPr="004E7B57">
        <w:t>τοις εκατό (</w:t>
      </w:r>
      <w:r w:rsidR="0033600E" w:rsidRPr="004E7B57">
        <w:t>10</w:t>
      </w:r>
      <w:r w:rsidRPr="004E7B57">
        <w:t xml:space="preserve">0%). Σε περίπτωση που η συνολική ισχύς των </w:t>
      </w:r>
      <w:r w:rsidR="0051228D" w:rsidRPr="004E7B57">
        <w:t>Σ.Α.Η.Ε.</w:t>
      </w:r>
      <w:r w:rsidRPr="004E7B57">
        <w:t xml:space="preserve"> που συμμετέχουν στην Ανταγωνιστική Διαδικασία υπολείπεται του παραπάνω Ελάχιστου Ποσοστού Ανταγωνισμού, τότε η προς κατακύρωση ισχύς μειώνεται ώστε να ικανοποιείται το </w:t>
      </w:r>
      <w:r w:rsidR="00C74E01" w:rsidRPr="004E7B57">
        <w:t>Ε</w:t>
      </w:r>
      <w:r w:rsidRPr="004E7B57">
        <w:t xml:space="preserve">λάχιστο </w:t>
      </w:r>
      <w:r w:rsidR="00C74E01" w:rsidRPr="004E7B57">
        <w:t>Π</w:t>
      </w:r>
      <w:r w:rsidRPr="004E7B57">
        <w:t xml:space="preserve">οσοστό </w:t>
      </w:r>
      <w:r w:rsidR="00C74E01" w:rsidRPr="004E7B57">
        <w:t>Α</w:t>
      </w:r>
      <w:r w:rsidRPr="004E7B57">
        <w:t>νταγωνισμού.</w:t>
      </w:r>
      <w:r w:rsidR="00F5429E" w:rsidRPr="004E7B57">
        <w:t xml:space="preserve"> </w:t>
      </w:r>
    </w:p>
    <w:p w14:paraId="00EFDAC5" w14:textId="45752850" w:rsidR="008D28CD" w:rsidRDefault="00582616" w:rsidP="00E67595">
      <w:pPr>
        <w:pStyle w:val="a4"/>
        <w:numPr>
          <w:ilvl w:val="0"/>
          <w:numId w:val="12"/>
        </w:numPr>
        <w:ind w:left="993" w:hanging="426"/>
      </w:pPr>
      <w:r w:rsidRPr="004E7B57">
        <w:t>Σ</w:t>
      </w:r>
      <w:r w:rsidR="000D2F20" w:rsidRPr="004E7B57">
        <w:t xml:space="preserve">την </w:t>
      </w:r>
      <w:r w:rsidRPr="004E7B57">
        <w:t xml:space="preserve">Ανταγωνιστική Διαδικασία εφαρμόζεται όριο ελάχιστου αριθμού </w:t>
      </w:r>
      <w:r w:rsidR="0033600E" w:rsidRPr="004E7B57">
        <w:t>τεσσάρων</w:t>
      </w:r>
      <w:r w:rsidR="00F2748D" w:rsidRPr="004E7B57">
        <w:t xml:space="preserve"> </w:t>
      </w:r>
      <w:r w:rsidRPr="004E7B57">
        <w:t>(</w:t>
      </w:r>
      <w:r w:rsidR="0033600E" w:rsidRPr="004E7B57">
        <w:t>4</w:t>
      </w:r>
      <w:r w:rsidRPr="004E7B57">
        <w:t xml:space="preserve">) </w:t>
      </w:r>
      <w:r w:rsidR="00BD228E" w:rsidRPr="004E7B57">
        <w:t>Σ</w:t>
      </w:r>
      <w:r w:rsidRPr="004E7B57">
        <w:t>υμμετεχόντων, οι οποίοι δεν αποτελούν Συνδεδεμέν</w:t>
      </w:r>
      <w:r w:rsidR="00454873">
        <w:t>ες</w:t>
      </w:r>
      <w:r w:rsidRPr="004E7B57">
        <w:t xml:space="preserve"> </w:t>
      </w:r>
      <w:r w:rsidR="00F5429E" w:rsidRPr="004E7B57">
        <w:t>ή Συνεργαζόμεν</w:t>
      </w:r>
      <w:r w:rsidR="00454873">
        <w:t>ες</w:t>
      </w:r>
      <w:r w:rsidR="00F5429E" w:rsidRPr="004E7B57">
        <w:t xml:space="preserve"> </w:t>
      </w:r>
      <w:r w:rsidRPr="004E7B57">
        <w:t xml:space="preserve">μεταξύ τους </w:t>
      </w:r>
      <w:r w:rsidR="00454873">
        <w:t>επιχειρήσεις</w:t>
      </w:r>
      <w:r w:rsidRPr="004E7B57">
        <w:t xml:space="preserve">. Σε περίπτωση μη </w:t>
      </w:r>
      <w:r w:rsidR="00454873">
        <w:t>πλήρωσης</w:t>
      </w:r>
      <w:r w:rsidRPr="004E7B57">
        <w:t xml:space="preserve"> της </w:t>
      </w:r>
      <w:r w:rsidR="00454873">
        <w:t>ανωτέρω προϋπόθεσης</w:t>
      </w:r>
      <w:r w:rsidRPr="004E7B57">
        <w:t xml:space="preserve">, </w:t>
      </w:r>
      <w:r w:rsidR="00AD0F1A" w:rsidRPr="004E7B57">
        <w:t xml:space="preserve">η </w:t>
      </w:r>
      <w:r w:rsidRPr="004E7B57">
        <w:t>Ανταγωνιστική Διαδικασία</w:t>
      </w:r>
      <w:r w:rsidR="00AD0F1A" w:rsidRPr="004E7B57">
        <w:t xml:space="preserve"> αναβάλλεται για νέα ημερομηνία</w:t>
      </w:r>
      <w:r w:rsidR="000D2F20" w:rsidRPr="004E7B57">
        <w:t>,</w:t>
      </w:r>
      <w:r w:rsidR="00AD0F1A" w:rsidRPr="004E7B57">
        <w:t xml:space="preserve"> άλλως </w:t>
      </w:r>
      <w:r w:rsidR="00454873">
        <w:t>κηρύσσεται άγονη</w:t>
      </w:r>
      <w:r w:rsidR="00AD0F1A" w:rsidRPr="004E7B57">
        <w:t xml:space="preserve"> και η προς δημοπράτηση ισχύς προστίθεται στην προς δημοπράτηση ισχύ της Δεύτερης (Β’) Ανταγωνιστικής</w:t>
      </w:r>
      <w:r w:rsidR="00FC06AC" w:rsidRPr="004E7B57">
        <w:t xml:space="preserve"> Διαδικασίας</w:t>
      </w:r>
      <w:r w:rsidRPr="004E7B57">
        <w:t>.</w:t>
      </w:r>
    </w:p>
    <w:p w14:paraId="4C0F75AA" w14:textId="77777777" w:rsidR="00D67203" w:rsidRDefault="00582616" w:rsidP="00E67595">
      <w:pPr>
        <w:pStyle w:val="a4"/>
        <w:numPr>
          <w:ilvl w:val="0"/>
          <w:numId w:val="12"/>
        </w:numPr>
        <w:ind w:left="993" w:hanging="426"/>
      </w:pPr>
      <w:r w:rsidRPr="004E7B57">
        <w:t xml:space="preserve">Τίθεται ανώτατο όριο </w:t>
      </w:r>
      <w:r w:rsidR="0033600E" w:rsidRPr="004E7B57">
        <w:t xml:space="preserve">100 MW στην Ισχύ Συμμετοχής </w:t>
      </w:r>
      <w:r w:rsidR="00CC0F4D" w:rsidRPr="004E7B57">
        <w:t>εκάστου</w:t>
      </w:r>
      <w:r w:rsidR="0033600E" w:rsidRPr="004E7B57">
        <w:t xml:space="preserve"> Σ.Α.Η.Ε.</w:t>
      </w:r>
      <w:r w:rsidR="00894383" w:rsidRPr="004E7B57">
        <w:t xml:space="preserve"> προκειμένου να επιτραπεί η συμμετοχή του στην Ανταγωνιστική Διαδικασία</w:t>
      </w:r>
      <w:r w:rsidRPr="004E7B57">
        <w:t>.</w:t>
      </w:r>
    </w:p>
    <w:p w14:paraId="6907BF4E" w14:textId="77777777" w:rsidR="00D67203" w:rsidRDefault="00582616" w:rsidP="00E67595">
      <w:pPr>
        <w:pStyle w:val="a4"/>
        <w:numPr>
          <w:ilvl w:val="0"/>
          <w:numId w:val="12"/>
        </w:numPr>
        <w:ind w:left="993" w:hanging="426"/>
      </w:pPr>
      <w:r w:rsidRPr="004E7B57">
        <w:t xml:space="preserve">Τίθεται μέγιστο όριο </w:t>
      </w:r>
      <w:r w:rsidR="00C74E01" w:rsidRPr="004E7B57">
        <w:t>Ι</w:t>
      </w:r>
      <w:r w:rsidRPr="004E7B57">
        <w:t xml:space="preserve">σχύος </w:t>
      </w:r>
      <w:r w:rsidR="00C74E01" w:rsidRPr="004E7B57">
        <w:t>Σ</w:t>
      </w:r>
      <w:r w:rsidRPr="004E7B57">
        <w:t xml:space="preserve">υμμετοχής ανά </w:t>
      </w:r>
      <w:r w:rsidR="002F67D4" w:rsidRPr="004E7B57">
        <w:t>Σ</w:t>
      </w:r>
      <w:r w:rsidRPr="004E7B57">
        <w:t>υμμετέχοντα,</w:t>
      </w:r>
      <w:r w:rsidR="00C74E01" w:rsidRPr="004E7B57">
        <w:t xml:space="preserve"> </w:t>
      </w:r>
      <w:r w:rsidRPr="004E7B57">
        <w:t>το οποίο ορίζεται στο είκοσι πέντε τοις εκατό (25%) της δημοπρατούμενης ισχύος</w:t>
      </w:r>
      <w:r w:rsidR="006222F6" w:rsidRPr="004E7B57">
        <w:t xml:space="preserve"> της Ανταγωνιστικής Διαδικασίας</w:t>
      </w:r>
      <w:r w:rsidRPr="004E7B57">
        <w:t>.</w:t>
      </w:r>
    </w:p>
    <w:p w14:paraId="2ED9A4F6" w14:textId="77777777" w:rsidR="00D67203" w:rsidRDefault="00582616" w:rsidP="00E67595">
      <w:pPr>
        <w:pStyle w:val="a4"/>
        <w:numPr>
          <w:ilvl w:val="0"/>
          <w:numId w:val="12"/>
        </w:numPr>
        <w:ind w:left="993" w:hanging="426"/>
      </w:pPr>
      <w:r w:rsidRPr="004E7B57">
        <w:t xml:space="preserve">Τίθεται μέγιστο όριο κατακύρωσης ισχύος ανά </w:t>
      </w:r>
      <w:r w:rsidR="003F3C03" w:rsidRPr="004E7B57">
        <w:t>Σ</w:t>
      </w:r>
      <w:r w:rsidRPr="004E7B57">
        <w:t>υμμετέχοντα</w:t>
      </w:r>
      <w:r w:rsidR="00C74E01" w:rsidRPr="004E7B57">
        <w:t>,</w:t>
      </w:r>
      <w:r w:rsidRPr="004E7B57">
        <w:t xml:space="preserve"> </w:t>
      </w:r>
      <w:r w:rsidR="003F3C03" w:rsidRPr="004E7B57">
        <w:t xml:space="preserve">σωρευτικά για την </w:t>
      </w:r>
      <w:r w:rsidR="006222F6" w:rsidRPr="004E7B57">
        <w:t xml:space="preserve">Ανταγωνιστική Διαδικασία </w:t>
      </w:r>
      <w:r w:rsidR="00FC06AC" w:rsidRPr="004E7B57">
        <w:t xml:space="preserve">της παρούσας </w:t>
      </w:r>
      <w:r w:rsidR="00786803" w:rsidRPr="004E7B57">
        <w:t>Π</w:t>
      </w:r>
      <w:r w:rsidR="00FC06AC" w:rsidRPr="004E7B57">
        <w:t xml:space="preserve">ροκήρυξης </w:t>
      </w:r>
      <w:r w:rsidR="006222F6" w:rsidRPr="004E7B57">
        <w:t xml:space="preserve">και για </w:t>
      </w:r>
      <w:r w:rsidR="003F3C03" w:rsidRPr="004E7B57">
        <w:t xml:space="preserve">τη </w:t>
      </w:r>
      <w:r w:rsidR="00916114" w:rsidRPr="004E7B57">
        <w:t>Δε</w:t>
      </w:r>
      <w:r w:rsidR="003F3C03" w:rsidRPr="004E7B57">
        <w:t xml:space="preserve">ύτερη </w:t>
      </w:r>
      <w:r w:rsidR="00916114" w:rsidRPr="004E7B57">
        <w:t xml:space="preserve">(Β’ ) </w:t>
      </w:r>
      <w:r w:rsidR="003F3C03" w:rsidRPr="004E7B57">
        <w:t>Ανταγωνιστική Διαδικασία, το οποίο ορίζεται σε 100 MW.</w:t>
      </w:r>
    </w:p>
    <w:p w14:paraId="409E4342" w14:textId="46576C34" w:rsidR="0022074E" w:rsidRPr="004E7B57" w:rsidRDefault="0022074E" w:rsidP="00E67595">
      <w:pPr>
        <w:pStyle w:val="a4"/>
        <w:numPr>
          <w:ilvl w:val="0"/>
          <w:numId w:val="12"/>
        </w:numPr>
        <w:ind w:left="993" w:hanging="426"/>
      </w:pPr>
      <w:r w:rsidRPr="004E7B57">
        <w:t xml:space="preserve">Κατά τον έλεγχο των ορίων ισχύος συμμετοχής ανά Συμμετέχοντα και ελάχιστου αριθμού συμμετεχόντων, λαμβάνονται υπόψη οι συνδεδεμένες και οι συνεργαζόμενες με τον Συμμετέχοντα επιχειρήσεις κατά την έννοια της </w:t>
      </w:r>
      <w:r w:rsidR="00D67203">
        <w:t>Σ</w:t>
      </w:r>
      <w:r w:rsidRPr="004E7B57">
        <w:t>ύστασης 2003/361/ΕΚ της Επιτροπής (ΕΕL 124 της 20ής Μαΐου 2003, σ. 36).</w:t>
      </w:r>
      <w:r w:rsidR="00BB0225" w:rsidRPr="004E7B57">
        <w:rPr>
          <w:rStyle w:val="af0"/>
        </w:rPr>
        <w:footnoteReference w:id="1"/>
      </w:r>
    </w:p>
    <w:p w14:paraId="3D46380E" w14:textId="52EA9D90" w:rsidR="000546D5" w:rsidRPr="00733B6B" w:rsidRDefault="00856EDC" w:rsidP="00733B6B">
      <w:pPr>
        <w:jc w:val="center"/>
        <w:rPr>
          <w:b/>
          <w:bCs/>
        </w:rPr>
      </w:pPr>
      <w:r w:rsidRPr="00733B6B">
        <w:rPr>
          <w:b/>
          <w:bCs/>
        </w:rPr>
        <w:lastRenderedPageBreak/>
        <w:t xml:space="preserve">Άρθρο </w:t>
      </w:r>
      <w:r w:rsidR="002F67D4" w:rsidRPr="00733B6B">
        <w:rPr>
          <w:b/>
          <w:bCs/>
        </w:rPr>
        <w:t>8</w:t>
      </w:r>
    </w:p>
    <w:p w14:paraId="49E14F45" w14:textId="7630B638" w:rsidR="000546D5" w:rsidRPr="00733B6B" w:rsidRDefault="002708A7" w:rsidP="00733B6B">
      <w:pPr>
        <w:jc w:val="center"/>
        <w:rPr>
          <w:b/>
          <w:bCs/>
        </w:rPr>
      </w:pPr>
      <w:r w:rsidRPr="00733B6B">
        <w:rPr>
          <w:b/>
          <w:bCs/>
        </w:rPr>
        <w:t xml:space="preserve">Επιλέξιμοι </w:t>
      </w:r>
      <w:r w:rsidR="0051228D" w:rsidRPr="00733B6B">
        <w:rPr>
          <w:b/>
          <w:bCs/>
        </w:rPr>
        <w:t>Σ.Α.Η.Ε.</w:t>
      </w:r>
      <w:r w:rsidR="002F67D4" w:rsidRPr="00733B6B">
        <w:rPr>
          <w:b/>
          <w:bCs/>
        </w:rPr>
        <w:t xml:space="preserve"> </w:t>
      </w:r>
      <w:r w:rsidR="00733B6B">
        <w:rPr>
          <w:b/>
          <w:bCs/>
        </w:rPr>
        <w:t>-</w:t>
      </w:r>
      <w:r w:rsidR="005A35D4" w:rsidRPr="00733B6B">
        <w:rPr>
          <w:b/>
          <w:bCs/>
        </w:rPr>
        <w:t xml:space="preserve"> Κριτήρια και προϋποθέσεις</w:t>
      </w:r>
    </w:p>
    <w:p w14:paraId="5408140F" w14:textId="77777777" w:rsidR="003E30BB" w:rsidRPr="004E7B57" w:rsidRDefault="003E30BB" w:rsidP="00E76414"/>
    <w:p w14:paraId="63AAF044" w14:textId="3714DFC2" w:rsidR="000546D5" w:rsidRPr="004E7B57" w:rsidRDefault="002708A7" w:rsidP="00E76414">
      <w:r w:rsidRPr="004E7B57">
        <w:rPr>
          <w:b/>
        </w:rPr>
        <w:t xml:space="preserve">8.1. </w:t>
      </w:r>
      <w:r w:rsidR="00313F8C" w:rsidRPr="004E7B57">
        <w:t>Οι Συμμετέχοντες στην Ανταγωνιστική Διαδικασία πρέπει</w:t>
      </w:r>
      <w:r w:rsidR="00EF6A75" w:rsidRPr="004E7B57">
        <w:t xml:space="preserve"> </w:t>
      </w:r>
      <w:r w:rsidR="00313F8C" w:rsidRPr="004E7B57">
        <w:t>να</w:t>
      </w:r>
      <w:r w:rsidR="00C429FC" w:rsidRPr="004E7B57">
        <w:t xml:space="preserve"> πληρούν σωρ</w:t>
      </w:r>
      <w:r w:rsidR="00A24D2D" w:rsidRPr="004E7B57">
        <w:t>ευ</w:t>
      </w:r>
      <w:r w:rsidR="00C429FC" w:rsidRPr="004E7B57">
        <w:t xml:space="preserve">τικά </w:t>
      </w:r>
      <w:r w:rsidR="00D67203">
        <w:t>τα ακόλουθα κριτήρια και</w:t>
      </w:r>
      <w:r w:rsidR="00C429FC" w:rsidRPr="004E7B57">
        <w:t xml:space="preserve"> </w:t>
      </w:r>
      <w:r w:rsidR="00D67203">
        <w:t>προϋποθέσεις</w:t>
      </w:r>
      <w:r w:rsidR="00C429FC" w:rsidRPr="004E7B57">
        <w:t>:</w:t>
      </w:r>
    </w:p>
    <w:p w14:paraId="6E62F623" w14:textId="055BFCF9" w:rsidR="00A24D2D" w:rsidRPr="004E7B57" w:rsidRDefault="007028B7" w:rsidP="00E76414">
      <w:r w:rsidRPr="004E7B57">
        <w:rPr>
          <w:b/>
          <w:bCs/>
        </w:rPr>
        <w:t>8.1.1</w:t>
      </w:r>
      <w:r w:rsidR="00614FF9" w:rsidRPr="004E7B57">
        <w:rPr>
          <w:b/>
          <w:bCs/>
        </w:rPr>
        <w:t>.</w:t>
      </w:r>
      <w:r w:rsidRPr="004E7B57">
        <w:rPr>
          <w:b/>
          <w:bCs/>
        </w:rPr>
        <w:t xml:space="preserve"> </w:t>
      </w:r>
      <w:r w:rsidR="00C429FC" w:rsidRPr="004E7B57">
        <w:t xml:space="preserve">Να διαθέτουν </w:t>
      </w:r>
      <w:r w:rsidR="006222F6" w:rsidRPr="004E7B57">
        <w:t>Ά</w:t>
      </w:r>
      <w:r w:rsidR="00C429FC" w:rsidRPr="004E7B57">
        <w:t>δεια Αποθήκευσης ηλεκτρικής ενέργειας</w:t>
      </w:r>
      <w:r w:rsidR="00454873">
        <w:t xml:space="preserve">, </w:t>
      </w:r>
      <w:r w:rsidR="00E212ED">
        <w:t xml:space="preserve">ή </w:t>
      </w:r>
      <w:r w:rsidR="00454873">
        <w:t>αντίστοιχη άδεια η οποία εκδίδεται από τις αρμόδιες αρχές της Βουλγαρίας σχετικά με τους Σ.Α.Η.Ε. που εγκαθίστανται στην Βουλγαρία σύμφωνα με την παρ. 1.3 (</w:t>
      </w:r>
      <w:r w:rsidR="0009115A">
        <w:t>γ</w:t>
      </w:r>
      <w:r w:rsidR="00454873">
        <w:t xml:space="preserve">) της παρούσας Προκήρυξης, </w:t>
      </w:r>
      <w:r w:rsidR="00AD0F1A" w:rsidRPr="004E7B57">
        <w:t xml:space="preserve">σε ισχύ και </w:t>
      </w:r>
      <w:r w:rsidR="00A24D2D" w:rsidRPr="004E7B57">
        <w:t xml:space="preserve">με τα ακόλουθα χαρακτηριστικά: </w:t>
      </w:r>
    </w:p>
    <w:p w14:paraId="51FEDE59" w14:textId="77777777" w:rsidR="00D67203" w:rsidRDefault="00A24D2D" w:rsidP="00E67595">
      <w:pPr>
        <w:pStyle w:val="a4"/>
        <w:numPr>
          <w:ilvl w:val="0"/>
          <w:numId w:val="13"/>
        </w:numPr>
        <w:tabs>
          <w:tab w:val="clear" w:pos="1189"/>
        </w:tabs>
      </w:pPr>
      <w:r w:rsidRPr="004E7B57">
        <w:t xml:space="preserve">Να διαθέτουν εγγυημένη (ωφέλιμη) χωρητικότητα </w:t>
      </w:r>
      <w:r w:rsidR="00FC06AC" w:rsidRPr="004E7B57">
        <w:t xml:space="preserve">που αντιστοιχεί σε </w:t>
      </w:r>
      <w:r w:rsidRPr="004E7B57">
        <w:t>διάρκεια τουλάχιστον δύο (2) ωρών (</w:t>
      </w:r>
      <w:r w:rsidR="00FC06AC" w:rsidRPr="004E7B57">
        <w:t xml:space="preserve">οριζόμενη ως το πηλίκο της εγγυημένης χωρητικότητας του Σ.Α.Η.Ε., σε </w:t>
      </w:r>
      <w:proofErr w:type="spellStart"/>
      <w:r w:rsidRPr="004E7B57">
        <w:t>MWh</w:t>
      </w:r>
      <w:proofErr w:type="spellEnd"/>
      <w:r w:rsidR="00FC06AC" w:rsidRPr="004E7B57">
        <w:t>,</w:t>
      </w:r>
      <w:r w:rsidR="00B018FC" w:rsidRPr="004E7B57">
        <w:t xml:space="preserve"> </w:t>
      </w:r>
      <w:r w:rsidR="00FC06AC" w:rsidRPr="004E7B57">
        <w:t xml:space="preserve">προς τη μέγιστη ισχύ έγχυσης αυτού, σε </w:t>
      </w:r>
      <w:r w:rsidRPr="004E7B57">
        <w:t xml:space="preserve">MW). </w:t>
      </w:r>
    </w:p>
    <w:p w14:paraId="6CE86074" w14:textId="3D800BF6" w:rsidR="00D67203" w:rsidRDefault="00A24D2D" w:rsidP="00E67595">
      <w:pPr>
        <w:pStyle w:val="a4"/>
        <w:numPr>
          <w:ilvl w:val="0"/>
          <w:numId w:val="13"/>
        </w:numPr>
        <w:tabs>
          <w:tab w:val="clear" w:pos="1189"/>
        </w:tabs>
      </w:pPr>
      <w:r w:rsidRPr="004E7B57">
        <w:t>Να διαθέτουν μέγιστη ισχύ έγχυσης κατ’ ελάχιστον ίση με 1 MW</w:t>
      </w:r>
      <w:r w:rsidR="002717FD" w:rsidRPr="004E7B57">
        <w:t>, βάσει της Άδειας Αποθήκευσής τους, σύμφωνα με την παρ. 2 του άρθρου 132Ε του ν. 4001/2011</w:t>
      </w:r>
      <w:r w:rsidR="00FC6850" w:rsidRPr="00FC6850">
        <w:t xml:space="preserve">, </w:t>
      </w:r>
      <w:r w:rsidR="00FC6850">
        <w:t xml:space="preserve">ή αντίστοιχης άδειας για τους Σ.Α.Η.Ε. που εγκαθίστανται στην Βουλγαρία. </w:t>
      </w:r>
    </w:p>
    <w:p w14:paraId="5A946237" w14:textId="76E36818" w:rsidR="00A24D2D" w:rsidRPr="004E7B57" w:rsidRDefault="00D67203" w:rsidP="00E67595">
      <w:pPr>
        <w:pStyle w:val="a4"/>
        <w:numPr>
          <w:ilvl w:val="0"/>
          <w:numId w:val="13"/>
        </w:numPr>
        <w:tabs>
          <w:tab w:val="clear" w:pos="1189"/>
        </w:tabs>
      </w:pPr>
      <w:r>
        <w:t>Ν</w:t>
      </w:r>
      <w:r w:rsidR="00A24D2D" w:rsidRPr="004E7B57">
        <w:t>α συνδέονται στο Ε.Σ.Μ.Η.Ε.</w:t>
      </w:r>
      <w:r w:rsidR="00B02AE8" w:rsidRPr="004E7B57">
        <w:t>,</w:t>
      </w:r>
      <w:r w:rsidR="00A24D2D" w:rsidRPr="004E7B57">
        <w:t xml:space="preserve"> </w:t>
      </w:r>
      <w:r w:rsidR="0022074E" w:rsidRPr="004E7B57">
        <w:t xml:space="preserve">απ’ ευθείας ή μέσω έργων διασύνδεσης Μέσης Τάσης που δεν εντάσσονται στο Ε.Δ.Δ.Η.Ε., </w:t>
      </w:r>
      <w:r w:rsidR="00A24D2D" w:rsidRPr="004E7B57">
        <w:t xml:space="preserve">ή στο σύστημα μεταφοράς ηλεκτρικής ενέργειας </w:t>
      </w:r>
      <w:r w:rsidR="00FC6850">
        <w:t>της Βουλγαρίας</w:t>
      </w:r>
      <w:r w:rsidR="00515203" w:rsidRPr="004E7B57">
        <w:t>,</w:t>
      </w:r>
      <w:r w:rsidR="00A24D2D" w:rsidRPr="004E7B57">
        <w:t xml:space="preserve"> κατά τα οριζόμενα στο άρθρο 16 της Υπουργικής Απόφασης.</w:t>
      </w:r>
    </w:p>
    <w:p w14:paraId="571C43C1" w14:textId="194225CE" w:rsidR="00255D89" w:rsidRPr="004E7B57" w:rsidRDefault="003F3C03" w:rsidP="00E76414">
      <w:r w:rsidRPr="004E7B57">
        <w:t xml:space="preserve">Για τη συμμετοχή στην Ανταγωνιστική Διαδικασία ο Συμμετέχων δύναται να δηλώσει την Ισχύ και Χωρητικότητα Συμμετοχής, </w:t>
      </w:r>
      <w:r w:rsidR="00A24D2D" w:rsidRPr="004E7B57">
        <w:t xml:space="preserve">σύμφωνα με τα ανωτέρω, </w:t>
      </w:r>
      <w:r w:rsidRPr="004E7B57">
        <w:t xml:space="preserve">κατά τα προβλεπόμενα στην </w:t>
      </w:r>
      <w:r w:rsidRPr="007B1F0C">
        <w:t>π</w:t>
      </w:r>
      <w:r w:rsidR="00681545">
        <w:t>α</w:t>
      </w:r>
      <w:r w:rsidRPr="007B1F0C">
        <w:t>ρ.</w:t>
      </w:r>
      <w:r w:rsidR="007028B7" w:rsidRPr="007B1F0C">
        <w:t xml:space="preserve"> 3.</w:t>
      </w:r>
      <w:r w:rsidR="00677DDF" w:rsidRPr="007B1F0C">
        <w:t>2</w:t>
      </w:r>
      <w:r w:rsidR="00454873">
        <w:t>7</w:t>
      </w:r>
      <w:r w:rsidR="007028B7" w:rsidRPr="007B1F0C">
        <w:t xml:space="preserve"> του άρθρου 3</w:t>
      </w:r>
      <w:r w:rsidR="00FA21D7" w:rsidRPr="007B1F0C">
        <w:t xml:space="preserve"> και στην παρ. 11.</w:t>
      </w:r>
      <w:r w:rsidR="00CE3726" w:rsidRPr="007B1F0C">
        <w:t>1</w:t>
      </w:r>
      <w:r w:rsidR="00FA21D7" w:rsidRPr="007B1F0C">
        <w:t>.</w:t>
      </w:r>
      <w:r w:rsidR="00CE3726" w:rsidRPr="007B1F0C">
        <w:t>2</w:t>
      </w:r>
      <w:r w:rsidR="00A24D2D" w:rsidRPr="007B1F0C">
        <w:t>.</w:t>
      </w:r>
      <w:r w:rsidR="00C4191E">
        <w:t xml:space="preserve"> </w:t>
      </w:r>
      <w:r w:rsidR="00CE3726" w:rsidRPr="007B1F0C">
        <w:t>του άρθρου 11.</w:t>
      </w:r>
      <w:r w:rsidR="00A24D2D" w:rsidRPr="004E7B57">
        <w:t xml:space="preserve"> </w:t>
      </w:r>
      <w:r w:rsidR="00677DDF" w:rsidRPr="004E7B57">
        <w:t>Δεν επιτρέπεται η συμμετοχή στην Ανταγωνιστική Διαδικασία περισσοτέρων του ενός Σ.Α.Η.Ε. που προέρχονται από κατάτμηση Άδειας Αποθήκευσης, η οποία συντελείται μετά από τη θέση σε ισχύ της Υπουργικής Απόφασης.</w:t>
      </w:r>
    </w:p>
    <w:p w14:paraId="25FC41FE" w14:textId="0DC6B3DB" w:rsidR="005A35D4" w:rsidRDefault="00614FF9" w:rsidP="00E76414">
      <w:r w:rsidRPr="004E7B57">
        <w:rPr>
          <w:b/>
          <w:bCs/>
        </w:rPr>
        <w:t xml:space="preserve">8.1.2. </w:t>
      </w:r>
      <w:r w:rsidR="00C429FC" w:rsidRPr="004E7B57">
        <w:t xml:space="preserve">Να μην έχουν πραγματοποιήσει Έναρξη των Εργασιών για την κατασκευή των </w:t>
      </w:r>
      <w:r w:rsidR="0051228D" w:rsidRPr="004E7B57">
        <w:t>Σ.Α.Η.Ε.</w:t>
      </w:r>
      <w:r w:rsidR="00C429FC" w:rsidRPr="004E7B57">
        <w:t xml:space="preserve"> πριν από την υποβολή </w:t>
      </w:r>
      <w:r w:rsidR="00E114E5">
        <w:t>Αίτησης Συμμετοχής</w:t>
      </w:r>
      <w:r w:rsidR="00C429FC" w:rsidRPr="004E7B57">
        <w:t xml:space="preserve"> στο πλαίσιο </w:t>
      </w:r>
      <w:r w:rsidR="002717FD" w:rsidRPr="004E7B57">
        <w:t xml:space="preserve">της </w:t>
      </w:r>
      <w:r w:rsidR="00C429FC" w:rsidRPr="004E7B57">
        <w:t xml:space="preserve"> Ανταγωνιστικ</w:t>
      </w:r>
      <w:r w:rsidR="002717FD" w:rsidRPr="004E7B57">
        <w:t>ής</w:t>
      </w:r>
      <w:r w:rsidR="00C429FC" w:rsidRPr="004E7B57">
        <w:t xml:space="preserve"> Διαδικασ</w:t>
      </w:r>
      <w:r w:rsidR="002717FD" w:rsidRPr="004E7B57">
        <w:t>ίας</w:t>
      </w:r>
      <w:r w:rsidR="00C429FC" w:rsidRPr="004E7B57">
        <w:t>.</w:t>
      </w:r>
      <w:r w:rsidR="005A35D4" w:rsidRPr="004E7B57">
        <w:t xml:space="preserve"> </w:t>
      </w:r>
    </w:p>
    <w:p w14:paraId="0A30006B" w14:textId="77777777" w:rsidR="00CE3726" w:rsidRDefault="00CE3726" w:rsidP="00E76414"/>
    <w:p w14:paraId="14340D21" w14:textId="77777777" w:rsidR="002E557B" w:rsidRDefault="002E557B" w:rsidP="00E76414"/>
    <w:p w14:paraId="0DFDFB93" w14:textId="77777777" w:rsidR="002E557B" w:rsidRDefault="002E557B" w:rsidP="00E76414"/>
    <w:p w14:paraId="658B0718" w14:textId="77777777" w:rsidR="002E557B" w:rsidRPr="004E7B57" w:rsidRDefault="002E557B" w:rsidP="00E76414"/>
    <w:p w14:paraId="507EF22D" w14:textId="5F2AB23F" w:rsidR="00255D89" w:rsidRPr="00733B6B" w:rsidRDefault="00255D89" w:rsidP="00733B6B">
      <w:pPr>
        <w:jc w:val="center"/>
        <w:rPr>
          <w:b/>
          <w:bCs/>
        </w:rPr>
      </w:pPr>
      <w:r w:rsidRPr="00733B6B">
        <w:rPr>
          <w:b/>
          <w:bCs/>
        </w:rPr>
        <w:lastRenderedPageBreak/>
        <w:t xml:space="preserve">Άρθρο </w:t>
      </w:r>
      <w:r w:rsidR="00755B98" w:rsidRPr="00733B6B">
        <w:rPr>
          <w:b/>
          <w:bCs/>
        </w:rPr>
        <w:t>9</w:t>
      </w:r>
    </w:p>
    <w:p w14:paraId="29F8253C" w14:textId="7A4E10E7" w:rsidR="000546D5" w:rsidRPr="00733B6B" w:rsidRDefault="00856EDC" w:rsidP="00733B6B">
      <w:pPr>
        <w:jc w:val="center"/>
        <w:rPr>
          <w:b/>
          <w:bCs/>
        </w:rPr>
      </w:pPr>
      <w:r w:rsidRPr="00733B6B">
        <w:rPr>
          <w:b/>
          <w:bCs/>
        </w:rPr>
        <w:t>Τέλο</w:t>
      </w:r>
      <w:r w:rsidR="00CA5372" w:rsidRPr="00733B6B">
        <w:rPr>
          <w:b/>
          <w:bCs/>
        </w:rPr>
        <w:t>ς Σ</w:t>
      </w:r>
      <w:r w:rsidRPr="00733B6B">
        <w:rPr>
          <w:b/>
          <w:bCs/>
        </w:rPr>
        <w:t>υμμετοχής</w:t>
      </w:r>
    </w:p>
    <w:p w14:paraId="110A5FCB" w14:textId="77777777" w:rsidR="003E30BB" w:rsidRPr="004E7B57" w:rsidRDefault="003E30BB" w:rsidP="00E76414"/>
    <w:p w14:paraId="4C376608" w14:textId="11143A88" w:rsidR="00D54CB8" w:rsidRDefault="00CB4712" w:rsidP="00D54CB8">
      <w:r w:rsidRPr="004E7B57">
        <w:rPr>
          <w:b/>
          <w:bCs/>
        </w:rPr>
        <w:t>9</w:t>
      </w:r>
      <w:r w:rsidR="00B770A9" w:rsidRPr="004E7B57">
        <w:rPr>
          <w:b/>
          <w:bCs/>
        </w:rPr>
        <w:t>.1</w:t>
      </w:r>
      <w:r w:rsidR="00CA73C8" w:rsidRPr="004E7B57">
        <w:rPr>
          <w:b/>
          <w:bCs/>
        </w:rPr>
        <w:t>.</w:t>
      </w:r>
      <w:r w:rsidR="00B770A9" w:rsidRPr="004E7B57">
        <w:rPr>
          <w:b/>
          <w:bCs/>
        </w:rPr>
        <w:t xml:space="preserve"> </w:t>
      </w:r>
      <w:r w:rsidR="00B770A9" w:rsidRPr="004E7B57">
        <w:t xml:space="preserve">Για τη συμμετοχή του στην Ανταγωνιστική Διαδικασία ο Συμμετέχων πρέπει, επί ποινή αποκλεισμού, να έχει καταβάλει ολοσχερώς το Τέλος Συμμετοχής που ορίζεται </w:t>
      </w:r>
      <w:r w:rsidR="00D54CB8">
        <w:t>στον Πίνακα 1</w:t>
      </w:r>
      <w:r w:rsidR="00CE3726">
        <w:t xml:space="preserve"> του Παραρτήματος Α</w:t>
      </w:r>
      <w:r w:rsidR="00DC4DE2" w:rsidRPr="004E7B57">
        <w:t xml:space="preserve">. </w:t>
      </w:r>
      <w:r w:rsidR="00D54CB8">
        <w:t xml:space="preserve">Κάθε Συμμετέχων στην εν λόγω Ανταγωνιστική Διαδικασία οφείλει να χρησιμοποιήσει το μοναδικό Κωδικό Πληρωμής, ο οποίος προκύπτει αυτόματα από το σύστημα </w:t>
      </w:r>
      <w:r w:rsidR="00583F95">
        <w:t>μετά την</w:t>
      </w:r>
      <w:r w:rsidR="00D54CB8">
        <w:t xml:space="preserve"> υποβολή</w:t>
      </w:r>
      <w:r w:rsidR="00583F95">
        <w:t xml:space="preserve"> των</w:t>
      </w:r>
      <w:r w:rsidR="00D54CB8">
        <w:t xml:space="preserve"> </w:t>
      </w:r>
      <w:r w:rsidR="00583F95">
        <w:t>Δ</w:t>
      </w:r>
      <w:r w:rsidR="00D54CB8">
        <w:t xml:space="preserve">ικαιολογητικών στην Ηλεκτρονική Πλατφόρμα, αναγραφόμενος στο πεδίο ‘Κωδικός Πληρωμής ΔΙΑΣ’, και να προβεί στη σχετική πληρωμή του. Διευκρινίζεται ότι το εν λόγω Τέλος Συμμετοχής θα καταβάλλεται για κάθε </w:t>
      </w:r>
      <w:r w:rsidR="003C7A96">
        <w:t>Σ.Α.Η.Ε.</w:t>
      </w:r>
      <w:r w:rsidR="00D54CB8">
        <w:t>, που θα συμμετάσχει στην εν λόγω Ανταγωνιστική Διαδικασία.</w:t>
      </w:r>
    </w:p>
    <w:p w14:paraId="2F2DFAC9" w14:textId="155DC429" w:rsidR="000546D5" w:rsidRPr="00CE3726" w:rsidRDefault="00CB4712" w:rsidP="00CE3726">
      <w:pPr>
        <w:rPr>
          <w:b/>
          <w:bCs/>
        </w:rPr>
      </w:pPr>
      <w:r w:rsidRPr="004E7B57">
        <w:rPr>
          <w:b/>
          <w:bCs/>
        </w:rPr>
        <w:t>9</w:t>
      </w:r>
      <w:r w:rsidR="00B770A9" w:rsidRPr="004E7B57">
        <w:rPr>
          <w:b/>
          <w:bCs/>
        </w:rPr>
        <w:t>.2</w:t>
      </w:r>
      <w:r w:rsidR="00CA73C8" w:rsidRPr="004E7B57">
        <w:rPr>
          <w:b/>
          <w:bCs/>
        </w:rPr>
        <w:t>.</w:t>
      </w:r>
      <w:r w:rsidR="00B770A9" w:rsidRPr="004E7B57">
        <w:rPr>
          <w:b/>
          <w:bCs/>
        </w:rPr>
        <w:t xml:space="preserve"> </w:t>
      </w:r>
      <w:r w:rsidR="00B770A9" w:rsidRPr="004E7B57">
        <w:t xml:space="preserve">Ο Συμμετέχων δύναται να αιτηθεί εγγράφως την επιστροφή του Τέλους </w:t>
      </w:r>
      <w:r w:rsidR="000422E8" w:rsidRPr="004E7B57">
        <w:t>Σ</w:t>
      </w:r>
      <w:r w:rsidR="00B770A9" w:rsidRPr="004E7B57">
        <w:t>υμμετοχής και την</w:t>
      </w:r>
      <w:r w:rsidR="00F2748D" w:rsidRPr="004E7B57">
        <w:t xml:space="preserve"> </w:t>
      </w:r>
      <w:r w:rsidR="00B770A9" w:rsidRPr="004E7B57">
        <w:t xml:space="preserve">απόσυρση της </w:t>
      </w:r>
      <w:r w:rsidR="00365428" w:rsidRPr="004E7B57">
        <w:t>Αί</w:t>
      </w:r>
      <w:r w:rsidR="00B770A9" w:rsidRPr="004E7B57">
        <w:t xml:space="preserve">τησης </w:t>
      </w:r>
      <w:r w:rsidR="00313F8C" w:rsidRPr="004E7B57">
        <w:t>Σ</w:t>
      </w:r>
      <w:r w:rsidR="00B770A9" w:rsidRPr="004E7B57">
        <w:t xml:space="preserve">υμμετοχής αποκλειστικά και μόνο εντός της προθεσμίας υποβολής των </w:t>
      </w:r>
      <w:r w:rsidR="00313F8C" w:rsidRPr="004E7B57">
        <w:t>Α</w:t>
      </w:r>
      <w:r w:rsidR="00B770A9" w:rsidRPr="004E7B57">
        <w:t xml:space="preserve">ιτήσεων </w:t>
      </w:r>
      <w:r w:rsidR="00313F8C" w:rsidRPr="004E7B57">
        <w:t>Σ</w:t>
      </w:r>
      <w:r w:rsidR="00B770A9" w:rsidRPr="004E7B57">
        <w:t>υμμετοχής. Στην περίπτωση αυτή το έγγραφο αίτημά του πρέπει να περιλαμβάνει όλα</w:t>
      </w:r>
      <w:r w:rsidR="00313F8C" w:rsidRPr="004E7B57">
        <w:t xml:space="preserve"> </w:t>
      </w:r>
      <w:r w:rsidR="00B770A9" w:rsidRPr="004E7B57">
        <w:t>τα στοιχεία του κατόχου του λογαριασμού, καθώς και συνημμένο αποδεικτικό καταβολής του εν λόγω ποσού, στη διεύθυνση ηλεκτρονικού ταχυδρομείου (e-</w:t>
      </w:r>
      <w:proofErr w:type="spellStart"/>
      <w:r w:rsidR="00B770A9" w:rsidRPr="004E7B57">
        <w:t>mail</w:t>
      </w:r>
      <w:proofErr w:type="spellEnd"/>
      <w:r w:rsidR="00B770A9" w:rsidRPr="004E7B57">
        <w:t xml:space="preserve">) του άρθρου </w:t>
      </w:r>
      <w:r w:rsidR="005B6E7F">
        <w:t>2</w:t>
      </w:r>
      <w:r w:rsidR="005B6E7F" w:rsidRPr="004E7B57">
        <w:t xml:space="preserve"> </w:t>
      </w:r>
      <w:r w:rsidR="00B770A9" w:rsidRPr="004E7B57">
        <w:t>της παρούσας</w:t>
      </w:r>
      <w:r w:rsidR="009A7CFC" w:rsidRPr="004E7B57">
        <w:t xml:space="preserve"> </w:t>
      </w:r>
      <w:r w:rsidR="00B770A9" w:rsidRPr="004E7B57">
        <w:t>Προκήρυξης.</w:t>
      </w:r>
    </w:p>
    <w:p w14:paraId="11FACE62" w14:textId="08EB644C" w:rsidR="000546D5" w:rsidRPr="00EE073F" w:rsidRDefault="00CB4712" w:rsidP="00E76414">
      <w:r w:rsidRPr="004E7B57">
        <w:rPr>
          <w:b/>
          <w:bCs/>
        </w:rPr>
        <w:t>9</w:t>
      </w:r>
      <w:r w:rsidR="00B770A9" w:rsidRPr="004E7B57">
        <w:rPr>
          <w:b/>
          <w:bCs/>
        </w:rPr>
        <w:t>.3.</w:t>
      </w:r>
      <w:r w:rsidR="00B770A9" w:rsidRPr="004E7B57">
        <w:t xml:space="preserve"> Το Τέλος Συμμετοχής δεν επιστρέφεται και καταπίπτει </w:t>
      </w:r>
      <w:r w:rsidR="00A11BC0" w:rsidRPr="004E7B57">
        <w:t xml:space="preserve">υπέρ της </w:t>
      </w:r>
      <w:r w:rsidR="00CF21E9" w:rsidRPr="004E7B57">
        <w:t>Ρ.Α.Α.Ε.Υ.</w:t>
      </w:r>
      <w:r w:rsidR="00A11BC0" w:rsidRPr="004E7B57">
        <w:t xml:space="preserve"> </w:t>
      </w:r>
      <w:r w:rsidR="00B770A9" w:rsidRPr="004E7B57">
        <w:t>εάν το σχετικό αίτημα επιστροφής υποβληθεί μετά τη λήξη της προθεσμίας υποβολής των Αιτήσεων Συμμετοχής</w:t>
      </w:r>
      <w:r w:rsidR="00974177">
        <w:t xml:space="preserve">, με την επιφύλαξη </w:t>
      </w:r>
      <w:r w:rsidR="00974177" w:rsidRPr="007B1F0C">
        <w:t>του άρθρου</w:t>
      </w:r>
      <w:r w:rsidR="00981961" w:rsidRPr="007B1F0C">
        <w:t xml:space="preserve"> </w:t>
      </w:r>
      <w:r w:rsidR="005B6E7F" w:rsidRPr="007B1F0C">
        <w:t>17.2.</w:t>
      </w:r>
    </w:p>
    <w:p w14:paraId="5DCC4584" w14:textId="77777777" w:rsidR="000546D5" w:rsidRPr="004E7B57" w:rsidRDefault="000546D5" w:rsidP="00E76414">
      <w:pPr>
        <w:pStyle w:val="a3"/>
      </w:pPr>
    </w:p>
    <w:p w14:paraId="0093B079" w14:textId="7A41A6A0" w:rsidR="000546D5" w:rsidRPr="00733B6B" w:rsidRDefault="00856EDC" w:rsidP="00733B6B">
      <w:pPr>
        <w:jc w:val="center"/>
        <w:rPr>
          <w:b/>
          <w:bCs/>
        </w:rPr>
      </w:pPr>
      <w:r w:rsidRPr="00733B6B">
        <w:rPr>
          <w:b/>
          <w:bCs/>
        </w:rPr>
        <w:t xml:space="preserve">Άρθρο </w:t>
      </w:r>
      <w:r w:rsidR="00755B98" w:rsidRPr="00733B6B">
        <w:rPr>
          <w:b/>
          <w:bCs/>
        </w:rPr>
        <w:t>1</w:t>
      </w:r>
      <w:r w:rsidR="00B678CB" w:rsidRPr="00733B6B">
        <w:rPr>
          <w:b/>
          <w:bCs/>
        </w:rPr>
        <w:t>0</w:t>
      </w:r>
    </w:p>
    <w:p w14:paraId="3CE5CB6D" w14:textId="77777777" w:rsidR="000546D5" w:rsidRPr="00733B6B" w:rsidRDefault="00856EDC" w:rsidP="00733B6B">
      <w:pPr>
        <w:jc w:val="center"/>
        <w:rPr>
          <w:b/>
          <w:bCs/>
        </w:rPr>
      </w:pPr>
      <w:r w:rsidRPr="00733B6B">
        <w:rPr>
          <w:b/>
          <w:bCs/>
        </w:rPr>
        <w:t>Λόγοι αποκλεισμού Συμμετεχόντων</w:t>
      </w:r>
    </w:p>
    <w:p w14:paraId="45EA0B25" w14:textId="77777777" w:rsidR="003E30BB" w:rsidRPr="004E7B57" w:rsidRDefault="003E30BB" w:rsidP="00E76414">
      <w:pPr>
        <w:pStyle w:val="a3"/>
      </w:pPr>
    </w:p>
    <w:p w14:paraId="56B9FAA6" w14:textId="19FACF29" w:rsidR="000546D5" w:rsidRPr="003F0DAE" w:rsidRDefault="00856EDC" w:rsidP="00E76414">
      <w:pPr>
        <w:pStyle w:val="a3"/>
        <w:rPr>
          <w:sz w:val="22"/>
          <w:szCs w:val="22"/>
        </w:rPr>
      </w:pPr>
      <w:r w:rsidRPr="003F0DAE">
        <w:rPr>
          <w:sz w:val="22"/>
          <w:szCs w:val="22"/>
        </w:rPr>
        <w:t>∆εν έχουν δικαίωμα συμμετοχής στην Ανταγωνιστική Διαδικασία και αποκλείονται:</w:t>
      </w:r>
    </w:p>
    <w:p w14:paraId="37D1A6BE" w14:textId="24664826" w:rsidR="000546D5" w:rsidRPr="004E7B57" w:rsidRDefault="004944FD" w:rsidP="00E76414">
      <w:r w:rsidRPr="004E7B57">
        <w:rPr>
          <w:b/>
          <w:bCs/>
        </w:rPr>
        <w:t>1</w:t>
      </w:r>
      <w:r w:rsidR="00CB4712" w:rsidRPr="004E7B57">
        <w:rPr>
          <w:b/>
          <w:bCs/>
        </w:rPr>
        <w:t>0</w:t>
      </w:r>
      <w:r w:rsidRPr="004E7B57">
        <w:rPr>
          <w:b/>
          <w:bCs/>
        </w:rPr>
        <w:t>.1</w:t>
      </w:r>
      <w:r w:rsidR="00CA73C8" w:rsidRPr="004E7B57">
        <w:rPr>
          <w:b/>
          <w:bCs/>
        </w:rPr>
        <w:t>.</w:t>
      </w:r>
      <w:r w:rsidRPr="004E7B57">
        <w:t xml:space="preserve"> Οι Συμμετέχοντες που δεν πληρούν τις προϋποθέσεις συμμετοχής </w:t>
      </w:r>
      <w:r w:rsidRPr="00DF7971">
        <w:t>τ</w:t>
      </w:r>
      <w:r w:rsidR="00CA73C8" w:rsidRPr="00DF7971">
        <w:t>ων</w:t>
      </w:r>
      <w:r w:rsidRPr="00DF7971">
        <w:t xml:space="preserve"> άρθρ</w:t>
      </w:r>
      <w:r w:rsidR="00CA73C8" w:rsidRPr="00DF7971">
        <w:t>ων</w:t>
      </w:r>
      <w:r w:rsidRPr="00DF7971">
        <w:t xml:space="preserve"> </w:t>
      </w:r>
      <w:r w:rsidR="0001260C" w:rsidRPr="00DF7971">
        <w:t>6</w:t>
      </w:r>
      <w:r w:rsidR="00CA73C8" w:rsidRPr="00DF7971">
        <w:t>,</w:t>
      </w:r>
      <w:r w:rsidR="003F4884" w:rsidRPr="00DF7971">
        <w:t xml:space="preserve"> </w:t>
      </w:r>
      <w:r w:rsidR="00CA73C8" w:rsidRPr="00DF7971">
        <w:t>8</w:t>
      </w:r>
      <w:r w:rsidR="00CB4712" w:rsidRPr="00DF7971">
        <w:t xml:space="preserve"> και</w:t>
      </w:r>
      <w:r w:rsidR="00CA73C8" w:rsidRPr="00DF7971">
        <w:t xml:space="preserve"> 9 </w:t>
      </w:r>
      <w:r w:rsidRPr="00DF7971">
        <w:t>της</w:t>
      </w:r>
      <w:r w:rsidRPr="004E7B57">
        <w:t xml:space="preserve"> παρούσας Προκήρυξης.</w:t>
      </w:r>
    </w:p>
    <w:p w14:paraId="00F6AB35" w14:textId="3C18950F" w:rsidR="000546D5" w:rsidRPr="004E7B57" w:rsidRDefault="004944FD" w:rsidP="00E76414">
      <w:r w:rsidRPr="004E7B57">
        <w:rPr>
          <w:b/>
          <w:bCs/>
        </w:rPr>
        <w:t>1</w:t>
      </w:r>
      <w:r w:rsidR="00CB4712" w:rsidRPr="004E7B57">
        <w:rPr>
          <w:b/>
          <w:bCs/>
        </w:rPr>
        <w:t>0</w:t>
      </w:r>
      <w:r w:rsidRPr="004E7B57">
        <w:rPr>
          <w:b/>
          <w:bCs/>
        </w:rPr>
        <w:t>.2</w:t>
      </w:r>
      <w:r w:rsidR="00CA73C8" w:rsidRPr="004E7B57">
        <w:rPr>
          <w:b/>
          <w:bCs/>
        </w:rPr>
        <w:t>.</w:t>
      </w:r>
      <w:r w:rsidR="00F2748D" w:rsidRPr="004E7B57">
        <w:t xml:space="preserve"> </w:t>
      </w:r>
      <w:r w:rsidR="00B770A9" w:rsidRPr="004E7B57">
        <w:t>Οι Συμμετέχοντες ή οι νόμιμοι εκπρόσωποί τους ή τα μέλη της διοίκησής τους, κατά περίπτωση, που έχουν καταδικαστεί αμετάκλητα κατά την τελευταία τριετία, για έναν ή περισσότερους από τους κατωτέρω λόγους:</w:t>
      </w:r>
    </w:p>
    <w:p w14:paraId="1212BE1D" w14:textId="5AC3222C" w:rsidR="000546D5" w:rsidRPr="00407EE5" w:rsidRDefault="00856EDC" w:rsidP="00E67595">
      <w:pPr>
        <w:pStyle w:val="a3"/>
        <w:numPr>
          <w:ilvl w:val="0"/>
          <w:numId w:val="42"/>
        </w:numPr>
        <w:rPr>
          <w:sz w:val="22"/>
          <w:szCs w:val="22"/>
        </w:rPr>
      </w:pPr>
      <w:r w:rsidRPr="00EE073F">
        <w:rPr>
          <w:b/>
        </w:rPr>
        <w:t xml:space="preserve"> </w:t>
      </w:r>
      <w:r w:rsidRPr="00407EE5">
        <w:rPr>
          <w:sz w:val="22"/>
          <w:szCs w:val="22"/>
        </w:rPr>
        <w:t>Συμμετοχή σε εγκληματική οργάνωση, κατά το άρθρο 2 παράγραφος 1 της κοινής δράσης της 98/773/ΔΕΥ του Συμβουλίου της Ευρωπαϊκής Ένωσης της 21</w:t>
      </w:r>
      <w:r w:rsidRPr="00407EE5">
        <w:rPr>
          <w:sz w:val="22"/>
          <w:szCs w:val="22"/>
          <w:vertAlign w:val="superscript"/>
        </w:rPr>
        <w:t>ης</w:t>
      </w:r>
      <w:r w:rsidRPr="00407EE5">
        <w:rPr>
          <w:sz w:val="22"/>
          <w:szCs w:val="22"/>
        </w:rPr>
        <w:t xml:space="preserve"> Δεκεμβρίου 1998.</w:t>
      </w:r>
    </w:p>
    <w:p w14:paraId="7414184E" w14:textId="04F35399" w:rsidR="000546D5" w:rsidRPr="00407EE5" w:rsidRDefault="00856EDC" w:rsidP="00E67595">
      <w:pPr>
        <w:pStyle w:val="a3"/>
        <w:numPr>
          <w:ilvl w:val="0"/>
          <w:numId w:val="42"/>
        </w:numPr>
        <w:rPr>
          <w:sz w:val="22"/>
          <w:szCs w:val="22"/>
        </w:rPr>
      </w:pPr>
      <w:r w:rsidRPr="00407EE5">
        <w:rPr>
          <w:b/>
          <w:sz w:val="22"/>
          <w:szCs w:val="22"/>
        </w:rPr>
        <w:t xml:space="preserve"> </w:t>
      </w:r>
      <w:r w:rsidRPr="00407EE5">
        <w:rPr>
          <w:sz w:val="22"/>
          <w:szCs w:val="22"/>
        </w:rPr>
        <w:t>Δωροδοκία, κατά το άρθρο 3 της πράξης του Συμβουλίου της 26ης Μαΐου 1997 και</w:t>
      </w:r>
      <w:r w:rsidR="008048DF" w:rsidRPr="00407EE5">
        <w:rPr>
          <w:sz w:val="22"/>
          <w:szCs w:val="22"/>
        </w:rPr>
        <w:t xml:space="preserve"> </w:t>
      </w:r>
      <w:r w:rsidRPr="00407EE5">
        <w:rPr>
          <w:sz w:val="22"/>
          <w:szCs w:val="22"/>
        </w:rPr>
        <w:t>στο</w:t>
      </w:r>
      <w:r w:rsidR="00F2748D" w:rsidRPr="00407EE5">
        <w:rPr>
          <w:sz w:val="22"/>
          <w:szCs w:val="22"/>
        </w:rPr>
        <w:t xml:space="preserve"> </w:t>
      </w:r>
      <w:r w:rsidRPr="00407EE5">
        <w:rPr>
          <w:sz w:val="22"/>
          <w:szCs w:val="22"/>
        </w:rPr>
        <w:t>άρθρο 3 παράγραφος 1 της κοινής δράσης 98/742/ΚΕΠΠΑ του Συμβουλίου.</w:t>
      </w:r>
    </w:p>
    <w:p w14:paraId="41F54F66" w14:textId="328AB808" w:rsidR="000546D5" w:rsidRPr="00407EE5" w:rsidRDefault="00856EDC" w:rsidP="00E67595">
      <w:pPr>
        <w:pStyle w:val="a3"/>
        <w:numPr>
          <w:ilvl w:val="0"/>
          <w:numId w:val="42"/>
        </w:numPr>
        <w:rPr>
          <w:sz w:val="22"/>
          <w:szCs w:val="22"/>
        </w:rPr>
      </w:pPr>
      <w:r w:rsidRPr="00407EE5">
        <w:rPr>
          <w:b/>
          <w:sz w:val="22"/>
          <w:szCs w:val="22"/>
        </w:rPr>
        <w:t xml:space="preserve"> </w:t>
      </w:r>
      <w:r w:rsidRPr="00407EE5">
        <w:rPr>
          <w:sz w:val="22"/>
          <w:szCs w:val="22"/>
        </w:rPr>
        <w:t>Απάτη, κατά την έννοια του άρθρου 1 της σύμβασης για την προστασία των οικονομικών συμφερόντων των Ευρωπαϊκών Κοινοτήτων.</w:t>
      </w:r>
    </w:p>
    <w:p w14:paraId="7AF3E33A" w14:textId="63DCFB6E" w:rsidR="000546D5" w:rsidRPr="00407EE5" w:rsidRDefault="00856EDC" w:rsidP="00E67595">
      <w:pPr>
        <w:pStyle w:val="a3"/>
        <w:numPr>
          <w:ilvl w:val="0"/>
          <w:numId w:val="42"/>
        </w:numPr>
        <w:rPr>
          <w:sz w:val="22"/>
          <w:szCs w:val="22"/>
        </w:rPr>
      </w:pPr>
      <w:r w:rsidRPr="00407EE5">
        <w:rPr>
          <w:b/>
          <w:sz w:val="22"/>
          <w:szCs w:val="22"/>
        </w:rPr>
        <w:t xml:space="preserve"> </w:t>
      </w:r>
      <w:r w:rsidRPr="00407EE5">
        <w:rPr>
          <w:sz w:val="22"/>
          <w:szCs w:val="22"/>
        </w:rPr>
        <w:t>Νομιμοποίηση εσόδων από παράνομες δραστηριότητες, κατά το άρθρο 1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w:t>
      </w:r>
    </w:p>
    <w:p w14:paraId="79612CD7" w14:textId="258BB841" w:rsidR="000546D5" w:rsidRPr="00407EE5" w:rsidRDefault="00856EDC" w:rsidP="00E67595">
      <w:pPr>
        <w:pStyle w:val="a3"/>
        <w:numPr>
          <w:ilvl w:val="0"/>
          <w:numId w:val="42"/>
        </w:numPr>
        <w:rPr>
          <w:sz w:val="22"/>
          <w:szCs w:val="22"/>
        </w:rPr>
      </w:pPr>
      <w:r w:rsidRPr="00407EE5">
        <w:rPr>
          <w:b/>
          <w:sz w:val="22"/>
          <w:szCs w:val="22"/>
        </w:rPr>
        <w:t xml:space="preserve"> </w:t>
      </w:r>
      <w:r w:rsidRPr="00407EE5">
        <w:rPr>
          <w:sz w:val="22"/>
          <w:szCs w:val="22"/>
        </w:rPr>
        <w:t>Κάποιο από τα αδικήματα της υπεξαίρεσης, απάτης, εκβίασης, πλαστογραφίας, ψευδορκίας, δωροδοκίας και δόλιας χρεοκοπίας.</w:t>
      </w:r>
    </w:p>
    <w:p w14:paraId="20022F37" w14:textId="54EBB440" w:rsidR="000546D5" w:rsidRPr="00407EE5" w:rsidRDefault="00856EDC" w:rsidP="00E67595">
      <w:pPr>
        <w:pStyle w:val="a3"/>
        <w:numPr>
          <w:ilvl w:val="0"/>
          <w:numId w:val="42"/>
        </w:numPr>
        <w:rPr>
          <w:sz w:val="22"/>
          <w:szCs w:val="22"/>
        </w:rPr>
      </w:pPr>
      <w:r w:rsidRPr="00407EE5">
        <w:rPr>
          <w:b/>
          <w:sz w:val="22"/>
          <w:szCs w:val="22"/>
        </w:rPr>
        <w:t xml:space="preserve"> </w:t>
      </w:r>
      <w:r w:rsidRPr="00407EE5">
        <w:rPr>
          <w:sz w:val="22"/>
          <w:szCs w:val="22"/>
        </w:rPr>
        <w:t>Έχουν καταδικασθεί, σύμφωνα με τη νομοθεσία του κράτους εγκατάστασης, για αδίκημα που αφορά την επαγγελματική τους διαγωγή.</w:t>
      </w:r>
    </w:p>
    <w:p w14:paraId="0EDA153E" w14:textId="6B7595DA" w:rsidR="000546D5" w:rsidRPr="004E7B57" w:rsidRDefault="004944FD" w:rsidP="00E76414">
      <w:r w:rsidRPr="004E7B57">
        <w:rPr>
          <w:b/>
          <w:bCs/>
        </w:rPr>
        <w:lastRenderedPageBreak/>
        <w:t>1</w:t>
      </w:r>
      <w:r w:rsidR="00CB4712" w:rsidRPr="004E7B57">
        <w:rPr>
          <w:b/>
          <w:bCs/>
        </w:rPr>
        <w:t>0</w:t>
      </w:r>
      <w:r w:rsidRPr="004E7B57">
        <w:rPr>
          <w:b/>
          <w:bCs/>
        </w:rPr>
        <w:t>.3</w:t>
      </w:r>
      <w:r w:rsidR="003F6B7D" w:rsidRPr="004E7B57">
        <w:rPr>
          <w:b/>
          <w:bCs/>
        </w:rPr>
        <w:t>.</w:t>
      </w:r>
      <w:r w:rsidRPr="004E7B57">
        <w:t xml:space="preserve"> </w:t>
      </w:r>
      <w:r w:rsidR="00B770A9" w:rsidRPr="004E7B57">
        <w:t xml:space="preserve">Οι Συμμετέχοντες που τελούν υπό πτώχευση, εκκαθάριση, παύση δραστηριοτήτων, αναγκαστική διαχείριση ή πτωχευτικό συμβιβασμό ή διαδικασία εξυγίανσης του </w:t>
      </w:r>
      <w:proofErr w:type="spellStart"/>
      <w:r w:rsidR="00B770A9" w:rsidRPr="004E7B57">
        <w:t>αρ</w:t>
      </w:r>
      <w:proofErr w:type="spellEnd"/>
      <w:r w:rsidR="00B770A9" w:rsidRPr="004E7B57">
        <w:t xml:space="preserve">. 99 ν. 3588/2007 και των </w:t>
      </w:r>
      <w:proofErr w:type="spellStart"/>
      <w:r w:rsidR="00B770A9" w:rsidRPr="004E7B57">
        <w:t>αρ</w:t>
      </w:r>
      <w:proofErr w:type="spellEnd"/>
      <w:r w:rsidR="00B770A9" w:rsidRPr="004E7B57">
        <w:t>. 31επ. του ν. 4738/2020 ή οποιαδήποτε άλλη κατάσταση, που προκύπτει από παρόμοια διαδικασία προβλεπόμενη από τις κατά περίπτωση εφαρμοζόμενες εθνικές, νομοθετικές και κανονιστικές διατάξεις ή έχει κινηθεί</w:t>
      </w:r>
      <w:r w:rsidR="00F2748D" w:rsidRPr="004E7B57">
        <w:t xml:space="preserve"> </w:t>
      </w:r>
      <w:r w:rsidR="00B770A9" w:rsidRPr="004E7B57">
        <w:t xml:space="preserve">διαδικασία κήρυξης σε πτώχευση, εκκαθάριση, αναγκαστική διαχείριση, πτωχευτικού συμβιβασμού ή διαδικασία εξυγίανσης του </w:t>
      </w:r>
      <w:proofErr w:type="spellStart"/>
      <w:r w:rsidR="00B770A9" w:rsidRPr="004E7B57">
        <w:t>αρ</w:t>
      </w:r>
      <w:proofErr w:type="spellEnd"/>
      <w:r w:rsidR="00B770A9" w:rsidRPr="004E7B57">
        <w:t xml:space="preserve">. 99 ν. 3588/2007 (Α’ 153) και των </w:t>
      </w:r>
      <w:proofErr w:type="spellStart"/>
      <w:r w:rsidR="00B770A9" w:rsidRPr="004E7B57">
        <w:t>αρ</w:t>
      </w:r>
      <w:proofErr w:type="spellEnd"/>
      <w:r w:rsidR="00B770A9" w:rsidRPr="004E7B57">
        <w:t>. 31επ. του ν. 4738/2020 (Α’ 207) ή οποιαδήποτε άλλη κατάσταση που προκύπτει από παρόμοια διαδικασία προβλεπόμενη από τις κατά περίπτωση εφαρμοζόμενες εθνικές νομοθετικές και κανονιστικές διατάξεις.</w:t>
      </w:r>
    </w:p>
    <w:p w14:paraId="50C1DAF7" w14:textId="058CA79C" w:rsidR="00865CF3" w:rsidRPr="004E7B57" w:rsidRDefault="004944FD" w:rsidP="00E76414">
      <w:r w:rsidRPr="004E7B57">
        <w:rPr>
          <w:b/>
          <w:bCs/>
        </w:rPr>
        <w:t>1</w:t>
      </w:r>
      <w:r w:rsidR="00CB4712" w:rsidRPr="004E7B57">
        <w:rPr>
          <w:b/>
          <w:bCs/>
        </w:rPr>
        <w:t>0</w:t>
      </w:r>
      <w:r w:rsidRPr="004E7B57">
        <w:rPr>
          <w:b/>
          <w:bCs/>
        </w:rPr>
        <w:t>.4</w:t>
      </w:r>
      <w:r w:rsidR="00CA73C8" w:rsidRPr="004E7B57">
        <w:rPr>
          <w:b/>
          <w:bCs/>
        </w:rPr>
        <w:t>.</w:t>
      </w:r>
      <w:r w:rsidRPr="004E7B57">
        <w:t xml:space="preserve"> Οι Συμμετέχοντες που βρίσκονται σε κατάσταση λύσης, παύσης, ανάκλησης ή αναστολής της δραστηριότητάς τους ή τελούν υπό εκκαθάριση του ν. 4548/2018 (Α’ 104), όπως εκάστοτε ισχύει, ή ειδική εκκαθάριση του ν. 1892/1990 (A’ 101), όπως εκάστοτε ισχύει, ή άλλες ανάλογες καταστάσεις ή επίσης τελούν υπό διαδικασία έκδοσης απόφασης κοινής ή ειδικής εκκαθάρισης των ανωτέρω νομοθετημάτων ή υπό άλλες ανάλογες καταστάσεις.</w:t>
      </w:r>
    </w:p>
    <w:p w14:paraId="7F1FE74D" w14:textId="78C395EF" w:rsidR="000546D5" w:rsidRPr="004E7B57" w:rsidRDefault="004944FD" w:rsidP="00E76414">
      <w:r w:rsidRPr="004E7B57">
        <w:rPr>
          <w:b/>
          <w:bCs/>
        </w:rPr>
        <w:t>1</w:t>
      </w:r>
      <w:r w:rsidR="00CB4712" w:rsidRPr="004E7B57">
        <w:rPr>
          <w:b/>
          <w:bCs/>
        </w:rPr>
        <w:t>0</w:t>
      </w:r>
      <w:r w:rsidRPr="004E7B57">
        <w:rPr>
          <w:b/>
          <w:bCs/>
        </w:rPr>
        <w:t>.5</w:t>
      </w:r>
      <w:r w:rsidR="00CA73C8" w:rsidRPr="004E7B57">
        <w:rPr>
          <w:b/>
          <w:bCs/>
        </w:rPr>
        <w:t>.</w:t>
      </w:r>
      <w:r w:rsidRPr="004E7B57">
        <w:t xml:space="preserve"> Οι Συμμετέχοντες που δεν έχουν εκπληρώσει τις υποχρεώσεις τους, όσον αφορά την καταβολή των εισφορών κοινωνικής ασφάλισης, σύμφωνα με τις νομοθετικές διατάξεις της χώρας, όπου είναι εγκατεστημένοι, ή σύμφωνα με την Ελληνική νομοθεσία.</w:t>
      </w:r>
    </w:p>
    <w:p w14:paraId="05F977E0" w14:textId="2B9AA049" w:rsidR="000546D5" w:rsidRPr="004E7B57" w:rsidRDefault="004944FD" w:rsidP="00E76414">
      <w:r w:rsidRPr="004E7B57">
        <w:rPr>
          <w:b/>
          <w:bCs/>
        </w:rPr>
        <w:t>1</w:t>
      </w:r>
      <w:r w:rsidR="00CB4712" w:rsidRPr="004E7B57">
        <w:rPr>
          <w:b/>
          <w:bCs/>
        </w:rPr>
        <w:t>0</w:t>
      </w:r>
      <w:r w:rsidRPr="004E7B57">
        <w:rPr>
          <w:b/>
          <w:bCs/>
        </w:rPr>
        <w:t>.6</w:t>
      </w:r>
      <w:r w:rsidR="00CA73C8" w:rsidRPr="004E7B57">
        <w:rPr>
          <w:b/>
          <w:bCs/>
        </w:rPr>
        <w:t>.</w:t>
      </w:r>
      <w:r w:rsidRPr="004E7B57">
        <w:t xml:space="preserve"> Οι Συμμετέχοντες που δεν έχουν εκπληρώσει τις υποχρεώσεις τους, όσον αφορά την πληρωμή των φόρων και τελών σύμφωνα με τις νομοθετικές διατάξεις της χώρας, όπου είναι εγκατεστημένοι</w:t>
      </w:r>
      <w:r w:rsidR="00F2748D" w:rsidRPr="004E7B57">
        <w:t xml:space="preserve"> </w:t>
      </w:r>
      <w:r w:rsidRPr="004E7B57">
        <w:t>ή σύμφωνα με την ελληνική νομοθεσία.</w:t>
      </w:r>
    </w:p>
    <w:p w14:paraId="0FD270A2" w14:textId="4426150C" w:rsidR="00865CF3" w:rsidRPr="004E7B57" w:rsidRDefault="004944FD" w:rsidP="00E76414">
      <w:r w:rsidRPr="004E7B57">
        <w:rPr>
          <w:b/>
          <w:bCs/>
        </w:rPr>
        <w:t>1</w:t>
      </w:r>
      <w:r w:rsidR="00CB4712" w:rsidRPr="004E7B57">
        <w:rPr>
          <w:b/>
          <w:bCs/>
        </w:rPr>
        <w:t>0</w:t>
      </w:r>
      <w:r w:rsidRPr="004E7B57">
        <w:rPr>
          <w:b/>
          <w:bCs/>
        </w:rPr>
        <w:t>.7</w:t>
      </w:r>
      <w:r w:rsidR="00CA73C8" w:rsidRPr="004E7B57">
        <w:rPr>
          <w:b/>
          <w:bCs/>
        </w:rPr>
        <w:t>.</w:t>
      </w:r>
      <w:r w:rsidRPr="004E7B57">
        <w:t xml:space="preserve"> Οι Συμμετέχοντες, οι νόμιμοι εκπρόσωποι και τα μέλη της διοίκησής τους, κατά περίπτωση, για τους οποίους αποδειχθεί, μετά από έλεγχο της </w:t>
      </w:r>
      <w:r w:rsidR="00CF21E9" w:rsidRPr="004E7B57">
        <w:t>Ρ.Α.Α.Ε.Υ.</w:t>
      </w:r>
      <w:r w:rsidRPr="004E7B57">
        <w:t>, ότι έχουν υποβάλει ψευδή δήλωση κατά</w:t>
      </w:r>
      <w:r w:rsidR="00F2748D" w:rsidRPr="004E7B57">
        <w:t xml:space="preserve"> </w:t>
      </w:r>
      <w:r w:rsidRPr="004E7B57">
        <w:t>την παροχή των παραπάνω πληροφοριών ή δεν έχουν παράσχει τις πληροφορίες αυτές.</w:t>
      </w:r>
    </w:p>
    <w:p w14:paraId="4C6EB71F" w14:textId="7E4409A1" w:rsidR="00865CF3" w:rsidRPr="004E7B57" w:rsidRDefault="004944FD" w:rsidP="00E76414">
      <w:r w:rsidRPr="004E7B57">
        <w:rPr>
          <w:b/>
          <w:bCs/>
        </w:rPr>
        <w:t>1</w:t>
      </w:r>
      <w:r w:rsidR="00CB4712" w:rsidRPr="004E7B57">
        <w:rPr>
          <w:b/>
          <w:bCs/>
        </w:rPr>
        <w:t>0</w:t>
      </w:r>
      <w:r w:rsidRPr="004E7B57">
        <w:rPr>
          <w:b/>
          <w:bCs/>
        </w:rPr>
        <w:t>.</w:t>
      </w:r>
      <w:r w:rsidR="00CA73C8" w:rsidRPr="004E7B57">
        <w:rPr>
          <w:b/>
          <w:bCs/>
        </w:rPr>
        <w:t>8.</w:t>
      </w:r>
      <w:r w:rsidRPr="004E7B57">
        <w:t xml:space="preserve"> Οι Συμμετέχοντες που δεν έχουν υποβάλει με την Αίτηση Συμμετοχής το αποδεικτικό καταβολής του Τέλους Συμμετοχής στην Ανταγωνιστική Διαδικασία υπέρ της </w:t>
      </w:r>
      <w:r w:rsidR="00CF21E9" w:rsidRPr="004E7B57">
        <w:t>Ρ.Α.Α.Ε.Υ.</w:t>
      </w:r>
      <w:r w:rsidRPr="004E7B57">
        <w:t>, σύμφωνα µε</w:t>
      </w:r>
      <w:r w:rsidR="00F2748D" w:rsidRPr="004E7B57">
        <w:t xml:space="preserve"> </w:t>
      </w:r>
      <w:r w:rsidRPr="004E7B57">
        <w:t xml:space="preserve">τα προβλεπόμενα στο </w:t>
      </w:r>
      <w:r w:rsidRPr="00DF7971">
        <w:t xml:space="preserve">άρθρο </w:t>
      </w:r>
      <w:r w:rsidR="005A453D" w:rsidRPr="00DF7971">
        <w:t>9</w:t>
      </w:r>
      <w:r w:rsidRPr="004E7B57">
        <w:t xml:space="preserve"> της παρούσας Προκήρυξης.</w:t>
      </w:r>
    </w:p>
    <w:p w14:paraId="5DF2D2BE" w14:textId="7EE06EC7" w:rsidR="00F211FC" w:rsidRPr="004E7B57" w:rsidRDefault="004944FD" w:rsidP="00E76414">
      <w:r w:rsidRPr="004E7B57">
        <w:rPr>
          <w:b/>
          <w:bCs/>
        </w:rPr>
        <w:t>1</w:t>
      </w:r>
      <w:r w:rsidR="00CB4712" w:rsidRPr="004E7B57">
        <w:rPr>
          <w:b/>
          <w:bCs/>
        </w:rPr>
        <w:t>0</w:t>
      </w:r>
      <w:r w:rsidRPr="004E7B57">
        <w:rPr>
          <w:b/>
          <w:bCs/>
        </w:rPr>
        <w:t>.</w:t>
      </w:r>
      <w:r w:rsidR="00CA73C8" w:rsidRPr="004E7B57">
        <w:rPr>
          <w:b/>
          <w:bCs/>
        </w:rPr>
        <w:t>9.</w:t>
      </w:r>
      <w:r w:rsidRPr="004E7B57">
        <w:t xml:space="preserve"> Οι Συμμετέχοντες που δεν υποβά</w:t>
      </w:r>
      <w:r w:rsidR="003F4884" w:rsidRPr="004E7B57">
        <w:t>λ</w:t>
      </w:r>
      <w:r w:rsidRPr="004E7B57">
        <w:t xml:space="preserve">λουν στη </w:t>
      </w:r>
      <w:r w:rsidR="00CF21E9" w:rsidRPr="004E7B57">
        <w:t>Ρ.Α.Α.Ε.Υ.</w:t>
      </w:r>
      <w:r w:rsidRPr="004E7B57">
        <w:t xml:space="preserve"> την Αίτηση Συμμετοχής, την Εγγυητική Επιστολή Συμμετοχής, </w:t>
      </w:r>
      <w:r w:rsidR="00EE073F">
        <w:t>την Προσφορά</w:t>
      </w:r>
      <w:r w:rsidRPr="004E7B57">
        <w:t xml:space="preserve"> και όλα τα δικαιολογητικά έγγραφα που προβλέπονται στην Προκήρυξη, σύμφωνα με το περιεχόμενο τον τύπο και τη διαδικασία που ορίζεται στην Προκήρυξη και στα Παραρτήματά της.</w:t>
      </w:r>
    </w:p>
    <w:p w14:paraId="0E377F7E" w14:textId="77777777" w:rsidR="00B47603" w:rsidRPr="004E7B57" w:rsidRDefault="00B47603" w:rsidP="00E76414">
      <w:pPr>
        <w:pStyle w:val="2"/>
      </w:pPr>
    </w:p>
    <w:p w14:paraId="3C8DC250" w14:textId="77777777" w:rsidR="003801BC" w:rsidRPr="004E7B57" w:rsidRDefault="003801BC" w:rsidP="00E76414">
      <w:pPr>
        <w:pStyle w:val="2"/>
      </w:pPr>
    </w:p>
    <w:p w14:paraId="7A43D2A2" w14:textId="77777777" w:rsidR="002E557B" w:rsidRDefault="002E557B" w:rsidP="00733B6B">
      <w:pPr>
        <w:jc w:val="center"/>
      </w:pPr>
    </w:p>
    <w:p w14:paraId="3DDB29F0" w14:textId="77777777" w:rsidR="002E557B" w:rsidRDefault="002E557B" w:rsidP="00733B6B">
      <w:pPr>
        <w:jc w:val="center"/>
      </w:pPr>
    </w:p>
    <w:p w14:paraId="315B8E61" w14:textId="77777777" w:rsidR="002E557B" w:rsidRDefault="002E557B" w:rsidP="00733B6B">
      <w:pPr>
        <w:jc w:val="center"/>
      </w:pPr>
    </w:p>
    <w:p w14:paraId="4C84C76F" w14:textId="77777777" w:rsidR="002E557B" w:rsidRDefault="002E557B" w:rsidP="00733B6B">
      <w:pPr>
        <w:jc w:val="center"/>
      </w:pPr>
    </w:p>
    <w:p w14:paraId="68459479" w14:textId="77777777" w:rsidR="002E557B" w:rsidRDefault="002E557B" w:rsidP="00733B6B">
      <w:pPr>
        <w:jc w:val="center"/>
      </w:pPr>
    </w:p>
    <w:p w14:paraId="39EC8BC1" w14:textId="77777777" w:rsidR="002E557B" w:rsidRDefault="002E557B" w:rsidP="00733B6B">
      <w:pPr>
        <w:jc w:val="center"/>
      </w:pPr>
    </w:p>
    <w:p w14:paraId="7C4AD4F6" w14:textId="77777777" w:rsidR="002E557B" w:rsidRDefault="002E557B" w:rsidP="00733B6B">
      <w:pPr>
        <w:jc w:val="center"/>
      </w:pPr>
    </w:p>
    <w:p w14:paraId="6124F44F" w14:textId="77777777" w:rsidR="002E557B" w:rsidRDefault="002E557B" w:rsidP="00733B6B">
      <w:pPr>
        <w:jc w:val="center"/>
      </w:pPr>
    </w:p>
    <w:p w14:paraId="399D0A12" w14:textId="77777777" w:rsidR="002E557B" w:rsidRDefault="002E557B" w:rsidP="00733B6B">
      <w:pPr>
        <w:jc w:val="center"/>
      </w:pPr>
    </w:p>
    <w:p w14:paraId="5EFC0AA5" w14:textId="77777777" w:rsidR="002E557B" w:rsidRDefault="002E557B" w:rsidP="00733B6B">
      <w:pPr>
        <w:jc w:val="center"/>
      </w:pPr>
    </w:p>
    <w:p w14:paraId="2B029325" w14:textId="77777777" w:rsidR="002E557B" w:rsidRDefault="002E557B" w:rsidP="00733B6B">
      <w:pPr>
        <w:jc w:val="center"/>
      </w:pPr>
    </w:p>
    <w:p w14:paraId="03BE1E6D" w14:textId="77777777" w:rsidR="002E557B" w:rsidRDefault="002E557B" w:rsidP="00733B6B">
      <w:pPr>
        <w:jc w:val="center"/>
      </w:pPr>
    </w:p>
    <w:p w14:paraId="750C7EAA" w14:textId="77777777" w:rsidR="002E557B" w:rsidRDefault="002E557B" w:rsidP="00733B6B">
      <w:pPr>
        <w:jc w:val="center"/>
      </w:pPr>
    </w:p>
    <w:p w14:paraId="4C059F6F" w14:textId="77777777" w:rsidR="002E557B" w:rsidRDefault="002E557B" w:rsidP="00733B6B">
      <w:pPr>
        <w:jc w:val="center"/>
      </w:pPr>
    </w:p>
    <w:p w14:paraId="541024CF" w14:textId="7B6425A8" w:rsidR="000546D5" w:rsidRPr="00733B6B" w:rsidRDefault="00856EDC" w:rsidP="00733B6B">
      <w:pPr>
        <w:jc w:val="center"/>
        <w:rPr>
          <w:b/>
          <w:bCs/>
          <w:sz w:val="24"/>
          <w:szCs w:val="24"/>
        </w:rPr>
      </w:pPr>
      <w:r w:rsidRPr="00733B6B">
        <w:rPr>
          <w:b/>
          <w:bCs/>
          <w:sz w:val="24"/>
          <w:szCs w:val="24"/>
        </w:rPr>
        <w:lastRenderedPageBreak/>
        <w:t>ΚΕΦΑΛΑΙΟ Γ΄</w:t>
      </w:r>
    </w:p>
    <w:p w14:paraId="0A60E9D3" w14:textId="5398C47E" w:rsidR="000546D5" w:rsidRPr="00733B6B" w:rsidRDefault="00856EDC" w:rsidP="00733B6B">
      <w:pPr>
        <w:jc w:val="center"/>
        <w:rPr>
          <w:b/>
          <w:bCs/>
          <w:sz w:val="24"/>
          <w:szCs w:val="24"/>
        </w:rPr>
      </w:pPr>
      <w:r w:rsidRPr="00733B6B">
        <w:rPr>
          <w:b/>
          <w:bCs/>
          <w:sz w:val="24"/>
          <w:szCs w:val="24"/>
        </w:rPr>
        <w:t xml:space="preserve">Υποβολή </w:t>
      </w:r>
      <w:r w:rsidR="00EE073F" w:rsidRPr="00733B6B">
        <w:rPr>
          <w:b/>
          <w:bCs/>
          <w:sz w:val="24"/>
          <w:szCs w:val="24"/>
        </w:rPr>
        <w:t xml:space="preserve">Αίτησης / </w:t>
      </w:r>
      <w:r w:rsidRPr="00733B6B">
        <w:rPr>
          <w:b/>
          <w:bCs/>
          <w:sz w:val="24"/>
          <w:szCs w:val="24"/>
        </w:rPr>
        <w:t xml:space="preserve">Προσφορών </w:t>
      </w:r>
      <w:r w:rsidR="00EE073F" w:rsidRPr="00733B6B">
        <w:rPr>
          <w:b/>
          <w:bCs/>
          <w:sz w:val="24"/>
          <w:szCs w:val="24"/>
        </w:rPr>
        <w:t xml:space="preserve">- </w:t>
      </w:r>
      <w:r w:rsidRPr="00733B6B">
        <w:rPr>
          <w:b/>
          <w:bCs/>
          <w:sz w:val="24"/>
          <w:szCs w:val="24"/>
        </w:rPr>
        <w:t xml:space="preserve">Αξιολόγηση και Αποφάσεις </w:t>
      </w:r>
      <w:r w:rsidR="00CF21E9" w:rsidRPr="00733B6B">
        <w:rPr>
          <w:b/>
          <w:bCs/>
          <w:sz w:val="24"/>
          <w:szCs w:val="24"/>
        </w:rPr>
        <w:t>Ρ.Α.Α.Ε.Υ.</w:t>
      </w:r>
    </w:p>
    <w:p w14:paraId="42F70836" w14:textId="77777777" w:rsidR="000546D5" w:rsidRPr="004E7B57" w:rsidRDefault="000546D5" w:rsidP="00E76414">
      <w:pPr>
        <w:pStyle w:val="a3"/>
      </w:pPr>
    </w:p>
    <w:p w14:paraId="1A02E12D" w14:textId="29F522AC" w:rsidR="000546D5" w:rsidRPr="00733B6B" w:rsidRDefault="00856EDC" w:rsidP="00733B6B">
      <w:pPr>
        <w:jc w:val="center"/>
        <w:rPr>
          <w:b/>
          <w:bCs/>
        </w:rPr>
      </w:pPr>
      <w:r w:rsidRPr="00733B6B">
        <w:rPr>
          <w:b/>
          <w:bCs/>
        </w:rPr>
        <w:t>Άρθρο 1</w:t>
      </w:r>
      <w:r w:rsidR="00CB4712" w:rsidRPr="00733B6B">
        <w:rPr>
          <w:b/>
          <w:bCs/>
        </w:rPr>
        <w:t>1</w:t>
      </w:r>
    </w:p>
    <w:p w14:paraId="7B8541DA" w14:textId="604DB8B2" w:rsidR="000546D5" w:rsidRPr="00733B6B" w:rsidRDefault="00856EDC" w:rsidP="00733B6B">
      <w:pPr>
        <w:jc w:val="center"/>
        <w:rPr>
          <w:b/>
          <w:bCs/>
        </w:rPr>
      </w:pPr>
      <w:r w:rsidRPr="00733B6B">
        <w:rPr>
          <w:b/>
          <w:bCs/>
        </w:rPr>
        <w:t xml:space="preserve">Διαδικασία Υποβολής </w:t>
      </w:r>
      <w:r w:rsidR="00EE073F" w:rsidRPr="00733B6B">
        <w:rPr>
          <w:b/>
          <w:bCs/>
        </w:rPr>
        <w:t xml:space="preserve">Αίτησης - </w:t>
      </w:r>
      <w:r w:rsidRPr="00733B6B">
        <w:rPr>
          <w:b/>
          <w:bCs/>
        </w:rPr>
        <w:t xml:space="preserve">Προσφορών </w:t>
      </w:r>
      <w:r w:rsidR="00EE073F" w:rsidRPr="00733B6B">
        <w:rPr>
          <w:b/>
          <w:bCs/>
        </w:rPr>
        <w:t>–</w:t>
      </w:r>
      <w:r w:rsidRPr="00733B6B">
        <w:rPr>
          <w:b/>
          <w:bCs/>
        </w:rPr>
        <w:t xml:space="preserve"> Δικαιολογητικ</w:t>
      </w:r>
      <w:r w:rsidR="00EE073F" w:rsidRPr="00733B6B">
        <w:rPr>
          <w:b/>
          <w:bCs/>
        </w:rPr>
        <w:t>ών</w:t>
      </w:r>
    </w:p>
    <w:p w14:paraId="1EDA4930" w14:textId="77777777" w:rsidR="005D1A14" w:rsidRPr="004E7B57" w:rsidRDefault="005D1A14" w:rsidP="00E76414"/>
    <w:p w14:paraId="7EC64219" w14:textId="32897F20" w:rsidR="003915E7" w:rsidRPr="003F0DAE" w:rsidRDefault="00FB71FF" w:rsidP="003F0DAE">
      <w:pPr>
        <w:widowControl/>
        <w:tabs>
          <w:tab w:val="clear" w:pos="1189"/>
        </w:tabs>
        <w:autoSpaceDE/>
        <w:autoSpaceDN/>
        <w:spacing w:before="240" w:after="0" w:line="259" w:lineRule="auto"/>
        <w:ind w:left="284" w:right="0"/>
        <w:contextualSpacing/>
        <w:rPr>
          <w:rFonts w:eastAsia="Calibri"/>
        </w:rPr>
      </w:pPr>
      <w:r w:rsidRPr="003F0DAE">
        <w:rPr>
          <w:rFonts w:eastAsia="Calibri"/>
          <w:b/>
          <w:bCs/>
        </w:rPr>
        <w:t>11.1.</w:t>
      </w:r>
      <w:r>
        <w:rPr>
          <w:rFonts w:eastAsia="Calibri"/>
        </w:rPr>
        <w:t xml:space="preserve"> </w:t>
      </w:r>
      <w:r w:rsidR="003915E7" w:rsidRPr="003F0DAE">
        <w:rPr>
          <w:rFonts w:eastAsia="Calibri"/>
        </w:rPr>
        <w:t xml:space="preserve">Η </w:t>
      </w:r>
      <w:r w:rsidR="003915E7">
        <w:rPr>
          <w:rFonts w:eastAsia="Calibri"/>
        </w:rPr>
        <w:t xml:space="preserve">διαδικασία υποβολής </w:t>
      </w:r>
      <w:r w:rsidR="00EE073F">
        <w:rPr>
          <w:rFonts w:eastAsia="Calibri"/>
        </w:rPr>
        <w:t xml:space="preserve">των </w:t>
      </w:r>
      <w:r w:rsidR="003915E7">
        <w:rPr>
          <w:rFonts w:eastAsia="Calibri"/>
        </w:rPr>
        <w:t>αιτήσεων συμμετοχής</w:t>
      </w:r>
      <w:r w:rsidR="00EE073F">
        <w:rPr>
          <w:rFonts w:eastAsia="Calibri"/>
        </w:rPr>
        <w:t xml:space="preserve">, των προσφορών και των δικαιολογητικών </w:t>
      </w:r>
      <w:r w:rsidR="003915E7">
        <w:rPr>
          <w:rFonts w:eastAsia="Calibri"/>
        </w:rPr>
        <w:t>διενεργείται ως εξής:</w:t>
      </w:r>
    </w:p>
    <w:p w14:paraId="11C9D678" w14:textId="77777777" w:rsidR="003915E7" w:rsidRPr="00354C65" w:rsidRDefault="003915E7" w:rsidP="00E76414"/>
    <w:p w14:paraId="30AD1E92" w14:textId="0D0C3DD7" w:rsidR="00354C65" w:rsidRPr="003F0DAE" w:rsidRDefault="00FB71FF" w:rsidP="00354C65">
      <w:pPr>
        <w:widowControl/>
        <w:tabs>
          <w:tab w:val="clear" w:pos="1189"/>
        </w:tabs>
        <w:autoSpaceDE/>
        <w:autoSpaceDN/>
        <w:spacing w:before="240" w:after="160" w:line="259" w:lineRule="auto"/>
        <w:ind w:left="284" w:right="0"/>
        <w:contextualSpacing/>
        <w:rPr>
          <w:rFonts w:eastAsia="Calibri"/>
          <w:b/>
          <w:color w:val="000000"/>
          <w:u w:val="single"/>
          <w:lang w:eastAsia="el-GR"/>
        </w:rPr>
      </w:pPr>
      <w:r>
        <w:rPr>
          <w:rFonts w:eastAsia="Calibri"/>
          <w:b/>
          <w:color w:val="000000"/>
          <w:u w:val="single"/>
          <w:lang w:eastAsia="el-GR"/>
        </w:rPr>
        <w:t xml:space="preserve">11.1.1. </w:t>
      </w:r>
      <w:r w:rsidR="00354C65" w:rsidRPr="003F0DAE">
        <w:rPr>
          <w:rFonts w:eastAsia="Calibri"/>
          <w:b/>
          <w:color w:val="000000"/>
          <w:u w:val="single"/>
          <w:lang w:eastAsia="el-GR"/>
        </w:rPr>
        <w:t>Βήμα 1</w:t>
      </w:r>
      <w:r w:rsidR="00354C65" w:rsidRPr="003F0DAE">
        <w:rPr>
          <w:rFonts w:eastAsia="Calibri"/>
          <w:b/>
          <w:color w:val="000000"/>
          <w:u w:val="single"/>
          <w:vertAlign w:val="superscript"/>
          <w:lang w:eastAsia="el-GR"/>
        </w:rPr>
        <w:t>ο</w:t>
      </w:r>
      <w:r w:rsidR="00354C65" w:rsidRPr="003F0DAE">
        <w:rPr>
          <w:rFonts w:eastAsia="Calibri"/>
          <w:b/>
          <w:color w:val="000000"/>
          <w:u w:val="single"/>
          <w:lang w:eastAsia="el-GR"/>
        </w:rPr>
        <w:t>: Εγγραφή – χορήγηση κωδικών πρόσβασης – πιστοποίηση χρηστών</w:t>
      </w:r>
    </w:p>
    <w:p w14:paraId="21CFAF50" w14:textId="77777777" w:rsidR="003A2B56" w:rsidRDefault="003A2B56" w:rsidP="00C71386">
      <w:pPr>
        <w:widowControl/>
        <w:tabs>
          <w:tab w:val="clear" w:pos="1189"/>
        </w:tabs>
        <w:autoSpaceDE/>
        <w:autoSpaceDN/>
        <w:spacing w:after="0" w:line="259" w:lineRule="auto"/>
        <w:ind w:left="284" w:right="0"/>
        <w:rPr>
          <w:rFonts w:eastAsia="Calibri"/>
        </w:rPr>
      </w:pPr>
    </w:p>
    <w:p w14:paraId="56A4387B" w14:textId="74D7A77E" w:rsidR="00D47D0E" w:rsidRPr="00D47D0E" w:rsidRDefault="00354C65" w:rsidP="003F0DAE">
      <w:pPr>
        <w:widowControl/>
        <w:tabs>
          <w:tab w:val="clear" w:pos="1189"/>
        </w:tabs>
        <w:autoSpaceDE/>
        <w:autoSpaceDN/>
        <w:spacing w:after="0" w:line="259" w:lineRule="auto"/>
        <w:ind w:left="284" w:right="0"/>
        <w:rPr>
          <w:rFonts w:eastAsia="Calibri"/>
        </w:rPr>
      </w:pPr>
      <w:r w:rsidRPr="003F0DAE">
        <w:rPr>
          <w:rFonts w:eastAsia="Calibri"/>
        </w:rPr>
        <w:t>Ο Ενδιαφερόμενος προκειμένου να υποβάλει την Αίτηση Συμμετοχής</w:t>
      </w:r>
      <w:r w:rsidR="00EE073F">
        <w:rPr>
          <w:rFonts w:eastAsia="Calibri"/>
        </w:rPr>
        <w:t xml:space="preserve"> και</w:t>
      </w:r>
      <w:r w:rsidRPr="003F0DAE">
        <w:rPr>
          <w:rFonts w:eastAsia="Calibri"/>
        </w:rPr>
        <w:t xml:space="preserve"> τα δικαιολογητικά συμμετοχής </w:t>
      </w:r>
      <w:r w:rsidR="00EE073F">
        <w:rPr>
          <w:rFonts w:eastAsia="Calibri"/>
        </w:rPr>
        <w:t>για</w:t>
      </w:r>
      <w:r w:rsidRPr="003F0DAE">
        <w:rPr>
          <w:rFonts w:eastAsia="Calibri"/>
        </w:rPr>
        <w:t xml:space="preserve"> να συμμετάσχει στην Ανταγωνιστική Διαδικασία, απαιτείται να προβεί  προηγουμένως σε εγγραφή στην Ηλεκτρονική </w:t>
      </w:r>
      <w:r>
        <w:rPr>
          <w:rFonts w:eastAsia="Calibri"/>
        </w:rPr>
        <w:t>Εφαρμογή</w:t>
      </w:r>
      <w:r w:rsidRPr="003F0DAE">
        <w:rPr>
          <w:rFonts w:eastAsia="Calibri"/>
        </w:rPr>
        <w:t xml:space="preserve"> της Ανταγωνιστικής Διαδικασίας</w:t>
      </w:r>
      <w:r w:rsidR="00DF7971">
        <w:rPr>
          <w:rFonts w:eastAsia="Calibri"/>
        </w:rPr>
        <w:t xml:space="preserve"> του Ηλεκτρονικού Μητρώου (</w:t>
      </w:r>
      <w:hyperlink r:id="rId14" w:history="1">
        <w:r w:rsidR="00DF7971" w:rsidRPr="001B0953">
          <w:rPr>
            <w:rStyle w:val="-"/>
            <w:rFonts w:eastAsia="Calibri"/>
            <w:lang w:val="en-US"/>
          </w:rPr>
          <w:t>https</w:t>
        </w:r>
        <w:r w:rsidR="00DF7971" w:rsidRPr="003F0DAE">
          <w:rPr>
            <w:rStyle w:val="-"/>
            <w:rFonts w:eastAsia="Calibri"/>
          </w:rPr>
          <w:t>://</w:t>
        </w:r>
        <w:r w:rsidR="00DF7971" w:rsidRPr="001B0953">
          <w:rPr>
            <w:rStyle w:val="-"/>
            <w:rFonts w:eastAsia="Calibri"/>
            <w:lang w:val="en-US"/>
          </w:rPr>
          <w:t>licensing</w:t>
        </w:r>
        <w:r w:rsidR="00DF7971" w:rsidRPr="003F0DAE">
          <w:rPr>
            <w:rStyle w:val="-"/>
            <w:rFonts w:eastAsia="Calibri"/>
          </w:rPr>
          <w:t>.</w:t>
        </w:r>
        <w:proofErr w:type="spellStart"/>
        <w:r w:rsidR="00DF7971" w:rsidRPr="001B0953">
          <w:rPr>
            <w:rStyle w:val="-"/>
            <w:rFonts w:eastAsia="Calibri"/>
            <w:lang w:val="en-US"/>
          </w:rPr>
          <w:t>rae</w:t>
        </w:r>
        <w:proofErr w:type="spellEnd"/>
        <w:r w:rsidR="00DF7971" w:rsidRPr="003F0DAE">
          <w:rPr>
            <w:rStyle w:val="-"/>
            <w:rFonts w:eastAsia="Calibri"/>
          </w:rPr>
          <w:t>.</w:t>
        </w:r>
        <w:r w:rsidR="00DF7971" w:rsidRPr="001B0953">
          <w:rPr>
            <w:rStyle w:val="-"/>
            <w:rFonts w:eastAsia="Calibri"/>
            <w:lang w:val="en-US"/>
          </w:rPr>
          <w:t>gr</w:t>
        </w:r>
        <w:r w:rsidR="00DF7971" w:rsidRPr="003F0DAE">
          <w:rPr>
            <w:rStyle w:val="-"/>
            <w:rFonts w:eastAsia="Calibri"/>
          </w:rPr>
          <w:t>/</w:t>
        </w:r>
      </w:hyperlink>
      <w:r w:rsidR="00DF7971" w:rsidRPr="003F0DAE">
        <w:rPr>
          <w:rFonts w:eastAsia="Calibri"/>
        </w:rPr>
        <w:t>)</w:t>
      </w:r>
      <w:r w:rsidRPr="003F0DAE">
        <w:rPr>
          <w:rFonts w:eastAsia="Calibri"/>
        </w:rPr>
        <w:t xml:space="preserve">. </w:t>
      </w:r>
      <w:r w:rsidR="00D47D0E">
        <w:rPr>
          <w:rFonts w:eastAsia="Calibri"/>
        </w:rPr>
        <w:t>Η</w:t>
      </w:r>
      <w:r w:rsidR="00D47D0E" w:rsidRPr="00D47D0E">
        <w:rPr>
          <w:rFonts w:eastAsia="Calibri"/>
        </w:rPr>
        <w:t xml:space="preserve"> διαδικασία εγγραφής περιλαμβάνει τόσο την αυτόματη ανάκτηση στοιχείων από την υπηρεσία </w:t>
      </w:r>
      <w:proofErr w:type="spellStart"/>
      <w:r w:rsidR="00D47D0E" w:rsidRPr="00D47D0E">
        <w:rPr>
          <w:rFonts w:eastAsia="Calibri"/>
        </w:rPr>
        <w:t>αυθεντικοποίησης</w:t>
      </w:r>
      <w:proofErr w:type="spellEnd"/>
      <w:r w:rsidR="00D47D0E" w:rsidRPr="00D47D0E">
        <w:rPr>
          <w:rFonts w:eastAsia="Calibri"/>
        </w:rPr>
        <w:t xml:space="preserve"> του </w:t>
      </w:r>
      <w:proofErr w:type="spellStart"/>
      <w:r w:rsidR="00D47D0E" w:rsidRPr="00D47D0E">
        <w:rPr>
          <w:rFonts w:eastAsia="Calibri"/>
        </w:rPr>
        <w:t>TaxisNet</w:t>
      </w:r>
      <w:proofErr w:type="spellEnd"/>
      <w:r w:rsidR="00D47D0E" w:rsidRPr="00D47D0E">
        <w:rPr>
          <w:rFonts w:eastAsia="Calibri"/>
        </w:rPr>
        <w:t>, όσο και την καταχώριση</w:t>
      </w:r>
      <w:r w:rsidR="00D7434C">
        <w:rPr>
          <w:rFonts w:eastAsia="Calibri"/>
        </w:rPr>
        <w:t xml:space="preserve"> στοιχείων</w:t>
      </w:r>
      <w:r w:rsidR="00D47D0E" w:rsidRPr="00D47D0E">
        <w:rPr>
          <w:rFonts w:eastAsia="Calibri"/>
        </w:rPr>
        <w:t xml:space="preserve">, </w:t>
      </w:r>
      <w:r w:rsidR="00D7434C">
        <w:rPr>
          <w:rFonts w:eastAsia="Calibri"/>
        </w:rPr>
        <w:t>τα οποία</w:t>
      </w:r>
      <w:r w:rsidR="00D47D0E" w:rsidRPr="00D47D0E">
        <w:rPr>
          <w:rFonts w:eastAsia="Calibri"/>
        </w:rPr>
        <w:t xml:space="preserve"> αφορούν τόσο </w:t>
      </w:r>
      <w:r w:rsidR="00D7434C">
        <w:rPr>
          <w:rFonts w:eastAsia="Calibri"/>
        </w:rPr>
        <w:t>σ</w:t>
      </w:r>
      <w:r w:rsidR="00D47D0E" w:rsidRPr="00D47D0E">
        <w:rPr>
          <w:rFonts w:eastAsia="Calibri"/>
        </w:rPr>
        <w:t xml:space="preserve">το ενδιαφερόμενο φυσικό ή νομικό πρόσωπο, όσο και </w:t>
      </w:r>
      <w:r w:rsidR="00D7434C">
        <w:rPr>
          <w:rFonts w:eastAsia="Calibri"/>
        </w:rPr>
        <w:t>στους</w:t>
      </w:r>
      <w:r w:rsidR="00D47D0E" w:rsidRPr="00D47D0E">
        <w:rPr>
          <w:rFonts w:eastAsia="Calibri"/>
        </w:rPr>
        <w:t xml:space="preserve"> </w:t>
      </w:r>
      <w:r w:rsidR="00D47D0E" w:rsidRPr="0009115A">
        <w:rPr>
          <w:rFonts w:eastAsia="Calibri"/>
        </w:rPr>
        <w:t>χρ</w:t>
      </w:r>
      <w:r w:rsidR="00D7434C" w:rsidRPr="0009115A">
        <w:rPr>
          <w:rFonts w:eastAsia="Calibri"/>
        </w:rPr>
        <w:t>ήστε</w:t>
      </w:r>
      <w:r w:rsidR="00195789" w:rsidRPr="0009115A">
        <w:rPr>
          <w:rFonts w:eastAsia="Calibri"/>
        </w:rPr>
        <w:t>ς (</w:t>
      </w:r>
      <w:r w:rsidR="0009115A" w:rsidRPr="0009115A">
        <w:rPr>
          <w:rFonts w:eastAsia="Calibri"/>
        </w:rPr>
        <w:t>νόμιμο εκπρόσωπο/διαχειριστή</w:t>
      </w:r>
      <w:r w:rsidR="0009115A">
        <w:rPr>
          <w:rFonts w:eastAsia="Calibri"/>
        </w:rPr>
        <w:t xml:space="preserve"> και αντίκλητο ο οποίος εξουσιοδοτείται</w:t>
      </w:r>
      <w:r w:rsidR="00D47D0E" w:rsidRPr="0009115A">
        <w:rPr>
          <w:rFonts w:eastAsia="Calibri"/>
        </w:rPr>
        <w:t xml:space="preserve"> για</w:t>
      </w:r>
      <w:r w:rsidR="00D47D0E" w:rsidRPr="00D47D0E">
        <w:rPr>
          <w:rFonts w:eastAsia="Calibri"/>
        </w:rPr>
        <w:t xml:space="preserve"> τη χρήση του συστήματος και την υποβολή </w:t>
      </w:r>
      <w:r w:rsidR="0009115A">
        <w:rPr>
          <w:rFonts w:eastAsia="Calibri"/>
        </w:rPr>
        <w:t xml:space="preserve">της Αίτησης Συμμετοχής και </w:t>
      </w:r>
      <w:r w:rsidR="00D47D0E" w:rsidRPr="00D47D0E">
        <w:rPr>
          <w:rFonts w:eastAsia="Calibri"/>
        </w:rPr>
        <w:t>των προβλεπόμενων από την Προκήρυξη στοιχείων και δικαιολογητικών</w:t>
      </w:r>
      <w:r w:rsidR="0009115A">
        <w:rPr>
          <w:rFonts w:eastAsia="Calibri"/>
        </w:rPr>
        <w:t>)</w:t>
      </w:r>
      <w:r w:rsidR="00D47D0E" w:rsidRPr="00D47D0E">
        <w:rPr>
          <w:rFonts w:eastAsia="Calibri"/>
        </w:rPr>
        <w:t>. Ενδεικτικά, στα στοιχεία αυτά περιλαμβάνονται μεταξύ άλλων:</w:t>
      </w:r>
    </w:p>
    <w:p w14:paraId="7517991A" w14:textId="77777777" w:rsidR="00D47D0E" w:rsidRPr="00D47D0E" w:rsidRDefault="00D47D0E" w:rsidP="00407EE5">
      <w:pPr>
        <w:widowControl/>
        <w:tabs>
          <w:tab w:val="clear" w:pos="1189"/>
          <w:tab w:val="left" w:pos="993"/>
        </w:tabs>
        <w:autoSpaceDE/>
        <w:autoSpaceDN/>
        <w:spacing w:after="0" w:line="259" w:lineRule="auto"/>
        <w:ind w:left="709" w:right="0"/>
        <w:rPr>
          <w:rFonts w:eastAsia="Calibri"/>
        </w:rPr>
      </w:pPr>
      <w:r w:rsidRPr="00D47D0E">
        <w:rPr>
          <w:rFonts w:eastAsia="Calibri"/>
        </w:rPr>
        <w:t>•</w:t>
      </w:r>
      <w:r w:rsidRPr="00D47D0E">
        <w:rPr>
          <w:rFonts w:eastAsia="Calibri"/>
        </w:rPr>
        <w:tab/>
        <w:t>Ονοματεπώνυμο Φυσικού Προσώπου / Επωνυμία Νομικού Προσώπου</w:t>
      </w:r>
    </w:p>
    <w:p w14:paraId="25597328" w14:textId="77777777" w:rsidR="00D47D0E" w:rsidRPr="00D47D0E" w:rsidRDefault="00D47D0E" w:rsidP="00407EE5">
      <w:pPr>
        <w:widowControl/>
        <w:tabs>
          <w:tab w:val="clear" w:pos="1189"/>
          <w:tab w:val="left" w:pos="993"/>
        </w:tabs>
        <w:autoSpaceDE/>
        <w:autoSpaceDN/>
        <w:spacing w:after="0" w:line="259" w:lineRule="auto"/>
        <w:ind w:left="709" w:right="0"/>
        <w:rPr>
          <w:rFonts w:eastAsia="Calibri"/>
        </w:rPr>
      </w:pPr>
      <w:r w:rsidRPr="00D47D0E">
        <w:rPr>
          <w:rFonts w:eastAsia="Calibri"/>
        </w:rPr>
        <w:t>•</w:t>
      </w:r>
      <w:r w:rsidRPr="00D47D0E">
        <w:rPr>
          <w:rFonts w:eastAsia="Calibri"/>
        </w:rPr>
        <w:tab/>
        <w:t>Ταχυδρομική Δ/</w:t>
      </w:r>
      <w:proofErr w:type="spellStart"/>
      <w:r w:rsidRPr="00D47D0E">
        <w:rPr>
          <w:rFonts w:eastAsia="Calibri"/>
        </w:rPr>
        <w:t>νση</w:t>
      </w:r>
      <w:proofErr w:type="spellEnd"/>
      <w:r w:rsidRPr="00D47D0E">
        <w:rPr>
          <w:rFonts w:eastAsia="Calibri"/>
        </w:rPr>
        <w:t xml:space="preserve"> </w:t>
      </w:r>
    </w:p>
    <w:p w14:paraId="73A390FB" w14:textId="77777777" w:rsidR="00D47D0E" w:rsidRPr="00D47D0E" w:rsidRDefault="00D47D0E" w:rsidP="00407EE5">
      <w:pPr>
        <w:widowControl/>
        <w:tabs>
          <w:tab w:val="clear" w:pos="1189"/>
          <w:tab w:val="left" w:pos="993"/>
        </w:tabs>
        <w:autoSpaceDE/>
        <w:autoSpaceDN/>
        <w:spacing w:after="0" w:line="259" w:lineRule="auto"/>
        <w:ind w:left="709" w:right="0"/>
        <w:rPr>
          <w:rFonts w:eastAsia="Calibri"/>
        </w:rPr>
      </w:pPr>
      <w:r w:rsidRPr="00D47D0E">
        <w:rPr>
          <w:rFonts w:eastAsia="Calibri"/>
        </w:rPr>
        <w:t>•</w:t>
      </w:r>
      <w:r w:rsidRPr="00D47D0E">
        <w:rPr>
          <w:rFonts w:eastAsia="Calibri"/>
        </w:rPr>
        <w:tab/>
        <w:t>ΑΦΜ</w:t>
      </w:r>
    </w:p>
    <w:p w14:paraId="64FDEA03" w14:textId="77777777" w:rsidR="00D47D0E" w:rsidRPr="00D47D0E" w:rsidRDefault="00D47D0E" w:rsidP="00407EE5">
      <w:pPr>
        <w:widowControl/>
        <w:tabs>
          <w:tab w:val="clear" w:pos="1189"/>
          <w:tab w:val="left" w:pos="993"/>
        </w:tabs>
        <w:autoSpaceDE/>
        <w:autoSpaceDN/>
        <w:spacing w:after="0" w:line="259" w:lineRule="auto"/>
        <w:ind w:left="709" w:right="0"/>
        <w:rPr>
          <w:rFonts w:eastAsia="Calibri"/>
        </w:rPr>
      </w:pPr>
      <w:r w:rsidRPr="00D47D0E">
        <w:rPr>
          <w:rFonts w:eastAsia="Calibri"/>
        </w:rPr>
        <w:t>•</w:t>
      </w:r>
      <w:r w:rsidRPr="00D47D0E">
        <w:rPr>
          <w:rFonts w:eastAsia="Calibri"/>
        </w:rPr>
        <w:tab/>
        <w:t>Τηλέφωνο</w:t>
      </w:r>
    </w:p>
    <w:p w14:paraId="7C07669A" w14:textId="77777777" w:rsidR="00D47D0E" w:rsidRPr="00D47D0E" w:rsidRDefault="00D47D0E" w:rsidP="00407EE5">
      <w:pPr>
        <w:widowControl/>
        <w:tabs>
          <w:tab w:val="clear" w:pos="1189"/>
          <w:tab w:val="left" w:pos="993"/>
        </w:tabs>
        <w:autoSpaceDE/>
        <w:autoSpaceDN/>
        <w:spacing w:after="0" w:line="259" w:lineRule="auto"/>
        <w:ind w:left="709" w:right="0"/>
        <w:rPr>
          <w:rFonts w:eastAsia="Calibri"/>
        </w:rPr>
      </w:pPr>
      <w:r w:rsidRPr="00D47D0E">
        <w:rPr>
          <w:rFonts w:eastAsia="Calibri"/>
        </w:rPr>
        <w:t>•</w:t>
      </w:r>
      <w:r w:rsidRPr="00D47D0E">
        <w:rPr>
          <w:rFonts w:eastAsia="Calibri"/>
        </w:rPr>
        <w:tab/>
        <w:t>Δ/</w:t>
      </w:r>
      <w:proofErr w:type="spellStart"/>
      <w:r w:rsidRPr="00D47D0E">
        <w:rPr>
          <w:rFonts w:eastAsia="Calibri"/>
        </w:rPr>
        <w:t>νση</w:t>
      </w:r>
      <w:proofErr w:type="spellEnd"/>
      <w:r w:rsidRPr="00D47D0E">
        <w:rPr>
          <w:rFonts w:eastAsia="Calibri"/>
        </w:rPr>
        <w:t xml:space="preserve"> Ηλεκτρονικού Ταχυδρομείου (e-</w:t>
      </w:r>
      <w:proofErr w:type="spellStart"/>
      <w:r w:rsidRPr="00D47D0E">
        <w:rPr>
          <w:rFonts w:eastAsia="Calibri"/>
        </w:rPr>
        <w:t>mail</w:t>
      </w:r>
      <w:proofErr w:type="spellEnd"/>
      <w:r w:rsidRPr="00D47D0E">
        <w:rPr>
          <w:rFonts w:eastAsia="Calibri"/>
        </w:rPr>
        <w:t xml:space="preserve">). </w:t>
      </w:r>
    </w:p>
    <w:p w14:paraId="7B76C95E" w14:textId="4AD70C4A" w:rsidR="00354C65" w:rsidRPr="003F0DAE" w:rsidRDefault="00D47D0E" w:rsidP="00C71386">
      <w:pPr>
        <w:widowControl/>
        <w:tabs>
          <w:tab w:val="clear" w:pos="1189"/>
        </w:tabs>
        <w:autoSpaceDE/>
        <w:autoSpaceDN/>
        <w:spacing w:after="160" w:line="259" w:lineRule="auto"/>
        <w:ind w:left="284" w:right="0"/>
        <w:rPr>
          <w:rFonts w:eastAsia="Calibri"/>
          <w:highlight w:val="yellow"/>
        </w:rPr>
      </w:pPr>
      <w:r w:rsidRPr="00D47D0E">
        <w:rPr>
          <w:rFonts w:eastAsia="Calibri"/>
        </w:rPr>
        <w:t xml:space="preserve">Σημείωση: Αν ο </w:t>
      </w:r>
      <w:r w:rsidR="00BE451E">
        <w:rPr>
          <w:rFonts w:eastAsia="Calibri"/>
        </w:rPr>
        <w:t>Ενδιαφερόμενος</w:t>
      </w:r>
      <w:r w:rsidRPr="00D47D0E">
        <w:rPr>
          <w:rFonts w:eastAsia="Calibri"/>
        </w:rPr>
        <w:t xml:space="preserve"> είναι ήδη εγγεγραμμένος στο</w:t>
      </w:r>
      <w:r w:rsidR="00C71386">
        <w:rPr>
          <w:rFonts w:eastAsia="Calibri"/>
        </w:rPr>
        <w:t xml:space="preserve"> Ηλεκτρονικό Μητρώο (</w:t>
      </w:r>
      <w:hyperlink r:id="rId15" w:history="1">
        <w:r w:rsidR="00C71386" w:rsidRPr="001B0953">
          <w:rPr>
            <w:rStyle w:val="-"/>
            <w:rFonts w:eastAsia="Calibri"/>
            <w:lang w:val="en-US"/>
          </w:rPr>
          <w:t>https</w:t>
        </w:r>
        <w:r w:rsidR="00C71386" w:rsidRPr="003F0DAE">
          <w:rPr>
            <w:rStyle w:val="-"/>
            <w:rFonts w:eastAsia="Calibri"/>
          </w:rPr>
          <w:t>://</w:t>
        </w:r>
        <w:r w:rsidR="00C71386" w:rsidRPr="001B0953">
          <w:rPr>
            <w:rStyle w:val="-"/>
            <w:rFonts w:eastAsia="Calibri"/>
            <w:lang w:val="en-US"/>
          </w:rPr>
          <w:t>licensing</w:t>
        </w:r>
        <w:r w:rsidR="00C71386" w:rsidRPr="003F0DAE">
          <w:rPr>
            <w:rStyle w:val="-"/>
            <w:rFonts w:eastAsia="Calibri"/>
          </w:rPr>
          <w:t>.</w:t>
        </w:r>
        <w:proofErr w:type="spellStart"/>
        <w:r w:rsidR="00C71386" w:rsidRPr="001B0953">
          <w:rPr>
            <w:rStyle w:val="-"/>
            <w:rFonts w:eastAsia="Calibri"/>
            <w:lang w:val="en-US"/>
          </w:rPr>
          <w:t>rae</w:t>
        </w:r>
        <w:proofErr w:type="spellEnd"/>
        <w:r w:rsidR="00C71386" w:rsidRPr="003F0DAE">
          <w:rPr>
            <w:rStyle w:val="-"/>
            <w:rFonts w:eastAsia="Calibri"/>
          </w:rPr>
          <w:t>.</w:t>
        </w:r>
        <w:r w:rsidR="00C71386" w:rsidRPr="001B0953">
          <w:rPr>
            <w:rStyle w:val="-"/>
            <w:rFonts w:eastAsia="Calibri"/>
            <w:lang w:val="en-US"/>
          </w:rPr>
          <w:t>gr</w:t>
        </w:r>
        <w:r w:rsidR="00C71386" w:rsidRPr="003F0DAE">
          <w:rPr>
            <w:rStyle w:val="-"/>
            <w:rFonts w:eastAsia="Calibri"/>
          </w:rPr>
          <w:t>/</w:t>
        </w:r>
      </w:hyperlink>
      <w:r w:rsidR="00C71386" w:rsidRPr="003F0DAE">
        <w:rPr>
          <w:rFonts w:eastAsia="Calibri"/>
        </w:rPr>
        <w:t xml:space="preserve"> )</w:t>
      </w:r>
      <w:r w:rsidRPr="00D47D0E">
        <w:rPr>
          <w:rFonts w:eastAsia="Calibri"/>
        </w:rPr>
        <w:t xml:space="preserve">, δεν απαιτείται να επαναλάβει τη διαδικασία εγγραφής. Ωστόσο, δύναται να προβεί σε </w:t>
      </w:r>
      <w:proofErr w:type="spellStart"/>
      <w:r w:rsidRPr="00D47D0E">
        <w:rPr>
          <w:rFonts w:eastAsia="Calibri"/>
        </w:rPr>
        <w:t>επικαιροποίηση</w:t>
      </w:r>
      <w:proofErr w:type="spellEnd"/>
      <w:r w:rsidRPr="00D47D0E">
        <w:rPr>
          <w:rFonts w:eastAsia="Calibri"/>
        </w:rPr>
        <w:t xml:space="preserve"> των στοιχείων του</w:t>
      </w:r>
      <w:r w:rsidR="00232909" w:rsidRPr="00232909">
        <w:rPr>
          <w:rFonts w:eastAsia="Calibri"/>
        </w:rPr>
        <w:t xml:space="preserve"> </w:t>
      </w:r>
      <w:r w:rsidR="00232909">
        <w:rPr>
          <w:rFonts w:eastAsia="Calibri"/>
        </w:rPr>
        <w:t>καθώς και στον ορισμό /εξουσιοδότηση νέων χρηστών (φυσικών προσώπων)</w:t>
      </w:r>
      <w:r w:rsidR="00BE451E">
        <w:rPr>
          <w:rFonts w:eastAsia="Calibri"/>
        </w:rPr>
        <w:t xml:space="preserve"> που θα ενεργήσουν εκ μέρους του Ενδιαφερομένου</w:t>
      </w:r>
      <w:r w:rsidRPr="00D47D0E">
        <w:rPr>
          <w:rFonts w:eastAsia="Calibri"/>
        </w:rPr>
        <w:t>.</w:t>
      </w:r>
    </w:p>
    <w:p w14:paraId="17180F5D" w14:textId="214DD123" w:rsidR="00354C65" w:rsidRPr="003F0DAE" w:rsidRDefault="00354C65" w:rsidP="00232909">
      <w:pPr>
        <w:widowControl/>
        <w:tabs>
          <w:tab w:val="clear" w:pos="1189"/>
        </w:tabs>
        <w:autoSpaceDE/>
        <w:autoSpaceDN/>
        <w:spacing w:after="160" w:line="259" w:lineRule="auto"/>
        <w:ind w:left="284" w:right="0"/>
        <w:rPr>
          <w:rFonts w:eastAsia="Calibri"/>
        </w:rPr>
      </w:pPr>
      <w:r w:rsidRPr="003F0DAE">
        <w:rPr>
          <w:rFonts w:eastAsia="Calibri"/>
        </w:rPr>
        <w:t>Σε περίπτωση που ένα νομικό ή φυσικό πρόσωπο είναι κάτοχος περισσοτέρων του ενός (1) Σ</w:t>
      </w:r>
      <w:r w:rsidR="0082481C">
        <w:rPr>
          <w:rFonts w:eastAsia="Calibri"/>
        </w:rPr>
        <w:t>.Α.Η.Ε.</w:t>
      </w:r>
      <w:r w:rsidRPr="003F0DAE">
        <w:rPr>
          <w:rFonts w:eastAsia="Calibri"/>
        </w:rPr>
        <w:t xml:space="preserve"> και επιθυμεί να συμμετάσχει στην Ανταγωνιστική Διαδικασία με περισσότερους του ενός (1) </w:t>
      </w:r>
      <w:r w:rsidR="005B6E7F">
        <w:rPr>
          <w:rFonts w:eastAsia="Calibri"/>
        </w:rPr>
        <w:t>Σ.Α.Η.Ε.</w:t>
      </w:r>
      <w:r w:rsidRPr="003F0DAE">
        <w:rPr>
          <w:rFonts w:eastAsia="Calibri"/>
        </w:rPr>
        <w:t xml:space="preserve">, μπορεί να λάβει μέρος στην Ανταγωνιστική Διαδικασία υποβάλλοντας </w:t>
      </w:r>
      <w:r w:rsidRPr="003F0DAE">
        <w:rPr>
          <w:rFonts w:eastAsia="Calibri"/>
          <w:b/>
          <w:bCs/>
        </w:rPr>
        <w:t xml:space="preserve">μια Αίτηση Συμμετοχής για κάθε </w:t>
      </w:r>
      <w:r w:rsidR="005B6E7F">
        <w:rPr>
          <w:rFonts w:eastAsia="Calibri"/>
          <w:b/>
          <w:bCs/>
        </w:rPr>
        <w:t>Σ.Α.Η.Ε.</w:t>
      </w:r>
      <w:r w:rsidRPr="003F0DAE">
        <w:rPr>
          <w:rFonts w:eastAsia="Calibri"/>
          <w:b/>
          <w:bCs/>
        </w:rPr>
        <w:t xml:space="preserve"> που κατέχει</w:t>
      </w:r>
      <w:r w:rsidR="00232909">
        <w:rPr>
          <w:rFonts w:eastAsia="Calibri"/>
        </w:rPr>
        <w:t>. Σ</w:t>
      </w:r>
      <w:r w:rsidRPr="003F0DAE">
        <w:rPr>
          <w:rFonts w:eastAsia="Calibri"/>
        </w:rPr>
        <w:t xml:space="preserve">ε περίπτωση που ο </w:t>
      </w:r>
      <w:r w:rsidR="00BE451E">
        <w:rPr>
          <w:rFonts w:eastAsia="Calibri"/>
        </w:rPr>
        <w:t>Ενδιαφερόμενος</w:t>
      </w:r>
      <w:r w:rsidRPr="003F0DAE">
        <w:rPr>
          <w:rFonts w:eastAsia="Calibri"/>
        </w:rPr>
        <w:t xml:space="preserve"> είναι κάτοχος περισσοτέρων του ενός (1) </w:t>
      </w:r>
      <w:r w:rsidR="0082481C">
        <w:rPr>
          <w:rFonts w:eastAsia="Calibri"/>
        </w:rPr>
        <w:t>Σ.Α.Η.Ε.</w:t>
      </w:r>
      <w:r w:rsidRPr="003F0DAE">
        <w:rPr>
          <w:rFonts w:eastAsia="Calibri"/>
        </w:rPr>
        <w:t xml:space="preserve">, για τους οποίους καταθέτει Αιτήσεις Συμμετοχής, σύμφωνα με τους όρους της παρούσας Προκήρυξης, </w:t>
      </w:r>
      <w:r w:rsidR="00232909">
        <w:rPr>
          <w:rFonts w:eastAsia="Calibri"/>
        </w:rPr>
        <w:t xml:space="preserve">μετά την </w:t>
      </w:r>
      <w:r w:rsidRPr="003F0DAE">
        <w:rPr>
          <w:rFonts w:eastAsia="Calibri"/>
        </w:rPr>
        <w:t xml:space="preserve">είσοδό του στην ως άνω Ηλεκτρονική </w:t>
      </w:r>
      <w:r w:rsidR="00FC763C">
        <w:rPr>
          <w:rFonts w:eastAsia="Calibri"/>
        </w:rPr>
        <w:t>Ε</w:t>
      </w:r>
      <w:r w:rsidR="0082481C">
        <w:rPr>
          <w:rFonts w:eastAsia="Calibri"/>
        </w:rPr>
        <w:t>φαρμογή</w:t>
      </w:r>
      <w:r w:rsidRPr="003F0DAE">
        <w:rPr>
          <w:rFonts w:eastAsia="Calibri"/>
        </w:rPr>
        <w:t xml:space="preserve">, </w:t>
      </w:r>
      <w:r w:rsidR="0082481C">
        <w:rPr>
          <w:rFonts w:eastAsia="Calibri"/>
        </w:rPr>
        <w:t>δύναται</w:t>
      </w:r>
      <w:r w:rsidRPr="003F0DAE">
        <w:rPr>
          <w:rFonts w:eastAsia="Calibri"/>
        </w:rPr>
        <w:t xml:space="preserve"> να προβεί στον ορισμό περισσότερων </w:t>
      </w:r>
      <w:r w:rsidR="00BE451E">
        <w:rPr>
          <w:rFonts w:eastAsia="Calibri"/>
        </w:rPr>
        <w:t xml:space="preserve">του ενός </w:t>
      </w:r>
      <w:r w:rsidRPr="003F0DAE">
        <w:rPr>
          <w:rFonts w:eastAsia="Calibri"/>
        </w:rPr>
        <w:t>χρηστών</w:t>
      </w:r>
      <w:r w:rsidR="00BE451E">
        <w:rPr>
          <w:rFonts w:eastAsia="Calibri"/>
        </w:rPr>
        <w:t xml:space="preserve"> (φυσικών προσώπων)</w:t>
      </w:r>
      <w:r w:rsidRPr="003F0DAE">
        <w:rPr>
          <w:rFonts w:eastAsia="Calibri"/>
        </w:rPr>
        <w:t xml:space="preserve">, οι οποίοι θα </w:t>
      </w:r>
      <w:r w:rsidR="00232909">
        <w:rPr>
          <w:rFonts w:eastAsia="Calibri"/>
        </w:rPr>
        <w:t xml:space="preserve">υποβάλουν την Αίτηση Συμμετοχής και τα δικαιολογητικά </w:t>
      </w:r>
      <w:r w:rsidRPr="003F0DAE">
        <w:rPr>
          <w:rFonts w:eastAsia="Calibri"/>
        </w:rPr>
        <w:t>συμμε</w:t>
      </w:r>
      <w:r w:rsidR="00232909">
        <w:rPr>
          <w:rFonts w:eastAsia="Calibri"/>
        </w:rPr>
        <w:t xml:space="preserve">τοχής στην </w:t>
      </w:r>
      <w:r w:rsidR="00232909" w:rsidRPr="003F0DAE">
        <w:rPr>
          <w:rFonts w:eastAsia="Calibri"/>
        </w:rPr>
        <w:t xml:space="preserve">Ηλεκτρονική </w:t>
      </w:r>
      <w:r w:rsidR="00232909">
        <w:rPr>
          <w:rFonts w:eastAsia="Calibri"/>
        </w:rPr>
        <w:t>Εφαρμογή</w:t>
      </w:r>
      <w:r w:rsidR="00232909" w:rsidRPr="003F0DAE">
        <w:rPr>
          <w:rFonts w:eastAsia="Calibri"/>
        </w:rPr>
        <w:t xml:space="preserve"> της Ανταγωνιστικής Διαδικασίας</w:t>
      </w:r>
      <w:r w:rsidR="00232909">
        <w:rPr>
          <w:rFonts w:eastAsia="Calibri"/>
        </w:rPr>
        <w:t xml:space="preserve"> </w:t>
      </w:r>
      <w:r w:rsidR="00BE451E">
        <w:rPr>
          <w:rFonts w:eastAsia="Calibri"/>
        </w:rPr>
        <w:t>για λογαριασμό του Ενδιαφερομένου</w:t>
      </w:r>
      <w:r w:rsidRPr="003F0DAE">
        <w:rPr>
          <w:rFonts w:eastAsia="Calibri"/>
        </w:rPr>
        <w:t xml:space="preserve">. </w:t>
      </w:r>
    </w:p>
    <w:p w14:paraId="11123223" w14:textId="72806D00" w:rsidR="00354C65" w:rsidRPr="003F0DAE" w:rsidRDefault="00354C65" w:rsidP="00354C65">
      <w:pPr>
        <w:widowControl/>
        <w:tabs>
          <w:tab w:val="clear" w:pos="1189"/>
        </w:tabs>
        <w:autoSpaceDE/>
        <w:autoSpaceDN/>
        <w:spacing w:after="160" w:line="259" w:lineRule="auto"/>
        <w:ind w:left="284" w:right="0"/>
        <w:rPr>
          <w:rFonts w:eastAsia="Calibri"/>
        </w:rPr>
      </w:pPr>
      <w:r w:rsidRPr="003F0DAE">
        <w:rPr>
          <w:rFonts w:eastAsia="Calibri"/>
        </w:rPr>
        <w:t xml:space="preserve">Οι </w:t>
      </w:r>
      <w:r w:rsidR="007C5F30">
        <w:rPr>
          <w:rFonts w:eastAsia="Calibri"/>
        </w:rPr>
        <w:t>Ενδιαφερόμενοι</w:t>
      </w:r>
      <w:r w:rsidRPr="003F0DAE">
        <w:rPr>
          <w:rFonts w:eastAsia="Calibri"/>
        </w:rPr>
        <w:t xml:space="preserve"> οφείλουν να προβούν σε εγγραφή στην Ηλεκτρονική </w:t>
      </w:r>
      <w:r w:rsidR="0082481C">
        <w:rPr>
          <w:rFonts w:eastAsia="Calibri"/>
        </w:rPr>
        <w:t>Εφαρμογή</w:t>
      </w:r>
      <w:r w:rsidRPr="003F0DAE">
        <w:rPr>
          <w:rFonts w:eastAsia="Calibri"/>
        </w:rPr>
        <w:t>, σύμφωνα με το χρονοδιάγραμμα της Προκήρυξης, όπως αποτυπώνεται στον Πίνακα 2</w:t>
      </w:r>
      <w:r w:rsidR="00CF3A00">
        <w:rPr>
          <w:rFonts w:eastAsia="Calibri"/>
        </w:rPr>
        <w:t xml:space="preserve"> του Παραρτήματος Α</w:t>
      </w:r>
      <w:r w:rsidRPr="003F0DAE">
        <w:rPr>
          <w:rFonts w:eastAsia="Calibri"/>
        </w:rPr>
        <w:t>.</w:t>
      </w:r>
    </w:p>
    <w:p w14:paraId="021A29E8" w14:textId="34B2D7DE" w:rsidR="00354C65" w:rsidRPr="003F0DAE" w:rsidRDefault="00FB71FF" w:rsidP="00354C65">
      <w:pPr>
        <w:widowControl/>
        <w:tabs>
          <w:tab w:val="clear" w:pos="1189"/>
        </w:tabs>
        <w:autoSpaceDE/>
        <w:autoSpaceDN/>
        <w:spacing w:after="160" w:line="259" w:lineRule="auto"/>
        <w:ind w:left="284" w:right="0"/>
        <w:rPr>
          <w:rFonts w:eastAsia="Calibri"/>
        </w:rPr>
      </w:pPr>
      <w:r>
        <w:rPr>
          <w:rFonts w:eastAsia="Calibri"/>
          <w:b/>
          <w:u w:val="single"/>
        </w:rPr>
        <w:t xml:space="preserve">11.1.2. </w:t>
      </w:r>
      <w:r w:rsidR="00354C65" w:rsidRPr="003F0DAE">
        <w:rPr>
          <w:rFonts w:eastAsia="Calibri"/>
          <w:b/>
          <w:u w:val="single"/>
        </w:rPr>
        <w:t>Βήμα 2</w:t>
      </w:r>
      <w:r w:rsidR="00354C65" w:rsidRPr="003F0DAE">
        <w:rPr>
          <w:rFonts w:eastAsia="Calibri"/>
          <w:b/>
          <w:u w:val="single"/>
          <w:vertAlign w:val="superscript"/>
        </w:rPr>
        <w:t>ο</w:t>
      </w:r>
      <w:r w:rsidR="00354C65" w:rsidRPr="003F0DAE">
        <w:rPr>
          <w:rFonts w:eastAsia="Calibri"/>
          <w:b/>
          <w:u w:val="single"/>
        </w:rPr>
        <w:t>: Υποβολή Αίτησης Συμμετοχής – Υπεύθυνης Δήλωσης και Δικαιολογητικών</w:t>
      </w:r>
    </w:p>
    <w:p w14:paraId="1B9AB767" w14:textId="4E4D7003" w:rsidR="00E42E04" w:rsidRDefault="00C71386" w:rsidP="00C71386">
      <w:pPr>
        <w:widowControl/>
        <w:tabs>
          <w:tab w:val="clear" w:pos="1189"/>
        </w:tabs>
        <w:autoSpaceDE/>
        <w:autoSpaceDN/>
        <w:spacing w:after="160" w:line="259" w:lineRule="auto"/>
        <w:ind w:left="284" w:right="0"/>
        <w:rPr>
          <w:rFonts w:eastAsia="Calibri"/>
        </w:rPr>
      </w:pPr>
      <w:r w:rsidRPr="003F0DAE">
        <w:rPr>
          <w:rFonts w:eastAsia="Calibri"/>
        </w:rPr>
        <w:t xml:space="preserve">Στη συνέχεια, έπειτα από την επιτυχή εγγραφή, οι </w:t>
      </w:r>
      <w:r w:rsidR="00BE451E">
        <w:rPr>
          <w:rFonts w:eastAsia="Calibri"/>
        </w:rPr>
        <w:t>Ενδιαφερόμενοι</w:t>
      </w:r>
      <w:r w:rsidRPr="003F0DAE">
        <w:rPr>
          <w:rFonts w:eastAsia="Calibri"/>
        </w:rPr>
        <w:t xml:space="preserve"> πρέπει να υποβάλουν υποχρεωτικά </w:t>
      </w:r>
      <w:bookmarkStart w:id="9" w:name="_Hlk137027773"/>
      <w:r w:rsidRPr="003F0DAE">
        <w:rPr>
          <w:rFonts w:eastAsia="Calibri"/>
        </w:rPr>
        <w:t xml:space="preserve">την Αίτηση Συμμετοχής – Υπεύθυνη Δήλωση και τα Δικαιολογητικά Συμμετοχής </w:t>
      </w:r>
      <w:bookmarkEnd w:id="9"/>
      <w:r>
        <w:rPr>
          <w:rFonts w:eastAsia="Calibri"/>
        </w:rPr>
        <w:t xml:space="preserve">στην </w:t>
      </w:r>
      <w:r>
        <w:rPr>
          <w:rFonts w:eastAsia="Calibri"/>
        </w:rPr>
        <w:lastRenderedPageBreak/>
        <w:t>Ηλεκτρονική Εφαρμογή</w:t>
      </w:r>
      <w:r w:rsidRPr="003F0DAE">
        <w:rPr>
          <w:rFonts w:eastAsia="Calibri"/>
        </w:rPr>
        <w:t xml:space="preserve">, σύμφωνα με τα οριζόμενα στο άρθρο 11 της παρούσας Προκήρυξης, επιλέγοντας: «Προκήρυξη </w:t>
      </w:r>
      <w:r w:rsidR="00BE451E">
        <w:rPr>
          <w:rFonts w:eastAsia="Calibri"/>
        </w:rPr>
        <w:t xml:space="preserve">Ρ.Α.Α.Ε.Υ. </w:t>
      </w:r>
      <w:r w:rsidRPr="003F0DAE">
        <w:rPr>
          <w:rFonts w:eastAsia="Calibri"/>
        </w:rPr>
        <w:t xml:space="preserve">1/2023». </w:t>
      </w:r>
    </w:p>
    <w:p w14:paraId="630EBD3F" w14:textId="7B5D9251" w:rsidR="00C71386" w:rsidRDefault="00E42E04" w:rsidP="00E42E04">
      <w:pPr>
        <w:widowControl/>
        <w:tabs>
          <w:tab w:val="clear" w:pos="1189"/>
        </w:tabs>
        <w:autoSpaceDE/>
        <w:autoSpaceDN/>
        <w:spacing w:after="160" w:line="259" w:lineRule="auto"/>
        <w:ind w:left="284" w:right="0"/>
        <w:rPr>
          <w:rFonts w:eastAsia="Calibri"/>
        </w:rPr>
      </w:pPr>
      <w:r>
        <w:rPr>
          <w:rFonts w:eastAsia="Calibri"/>
        </w:rPr>
        <w:t>Ειδικότερα</w:t>
      </w:r>
      <w:r w:rsidR="0057697D">
        <w:rPr>
          <w:rFonts w:eastAsia="Calibri"/>
        </w:rPr>
        <w:t xml:space="preserve"> ο Ενδιαφερόμενος καλείται να συμπληρώσει στοιχεία της Άδειας Αποθήκευσης του Σ</w:t>
      </w:r>
      <w:r w:rsidR="005B6E7F">
        <w:rPr>
          <w:rFonts w:eastAsia="Calibri"/>
        </w:rPr>
        <w:t>.</w:t>
      </w:r>
      <w:r w:rsidR="0057697D">
        <w:rPr>
          <w:rFonts w:eastAsia="Calibri"/>
        </w:rPr>
        <w:t>Α</w:t>
      </w:r>
      <w:r w:rsidR="005B6E7F">
        <w:rPr>
          <w:rFonts w:eastAsia="Calibri"/>
        </w:rPr>
        <w:t>.</w:t>
      </w:r>
      <w:r w:rsidR="0057697D">
        <w:rPr>
          <w:rFonts w:eastAsia="Calibri"/>
        </w:rPr>
        <w:t>Η</w:t>
      </w:r>
      <w:r w:rsidR="005B6E7F">
        <w:rPr>
          <w:rFonts w:eastAsia="Calibri"/>
        </w:rPr>
        <w:t>.</w:t>
      </w:r>
      <w:r w:rsidR="0057697D">
        <w:rPr>
          <w:rFonts w:eastAsia="Calibri"/>
        </w:rPr>
        <w:t>Ε</w:t>
      </w:r>
      <w:r w:rsidR="005B6E7F">
        <w:rPr>
          <w:rFonts w:eastAsia="Calibri"/>
        </w:rPr>
        <w:t>.</w:t>
      </w:r>
      <w:r w:rsidR="0057697D">
        <w:rPr>
          <w:rFonts w:eastAsia="Calibri"/>
        </w:rPr>
        <w:t xml:space="preserve"> που κατέχει, </w:t>
      </w:r>
      <w:r w:rsidR="00CF3A00">
        <w:rPr>
          <w:rFonts w:eastAsia="Calibri"/>
        </w:rPr>
        <w:t xml:space="preserve">ή αντίστοιχης άδειας </w:t>
      </w:r>
      <w:r w:rsidR="00CF3A00">
        <w:t xml:space="preserve">η οποία εκδίδεται από τις αρμόδιες αρχές της Βουλγαρίας σχετικά με τους Σ.Α.Η.Ε. που εγκαθίστανται στην Βουλγαρία, </w:t>
      </w:r>
      <w:r w:rsidR="0057697D">
        <w:rPr>
          <w:rFonts w:eastAsia="Calibri"/>
        </w:rPr>
        <w:t xml:space="preserve">καθώς και να επισυνάψει το αρχείο της εν λόγω Άδειας. </w:t>
      </w:r>
      <w:r>
        <w:rPr>
          <w:rFonts w:eastAsia="Calibri"/>
        </w:rPr>
        <w:t xml:space="preserve"> </w:t>
      </w:r>
      <w:r w:rsidR="0057697D">
        <w:rPr>
          <w:rFonts w:eastAsia="Calibri"/>
        </w:rPr>
        <w:t>Εφόσον ο Ενδιαφερόμενος επιθυμεί να συμμετάσχει στην Ανταγωνιστική Διαδικασία</w:t>
      </w:r>
      <w:r>
        <w:rPr>
          <w:rFonts w:eastAsia="Calibri"/>
        </w:rPr>
        <w:t xml:space="preserve"> με </w:t>
      </w:r>
      <w:r w:rsidR="00FB71FF">
        <w:rPr>
          <w:rFonts w:eastAsia="Calibri"/>
        </w:rPr>
        <w:t>Μ</w:t>
      </w:r>
      <w:r>
        <w:rPr>
          <w:rFonts w:eastAsia="Calibri"/>
        </w:rPr>
        <w:t xml:space="preserve">έγιστη </w:t>
      </w:r>
      <w:r w:rsidR="00FB71FF">
        <w:rPr>
          <w:rFonts w:eastAsia="Calibri"/>
        </w:rPr>
        <w:t>Ι</w:t>
      </w:r>
      <w:r>
        <w:rPr>
          <w:rFonts w:eastAsia="Calibri"/>
        </w:rPr>
        <w:t xml:space="preserve">σχύ </w:t>
      </w:r>
      <w:r w:rsidR="00BE451E">
        <w:rPr>
          <w:rFonts w:eastAsia="Calibri"/>
        </w:rPr>
        <w:t>Έγχυσης</w:t>
      </w:r>
      <w:r>
        <w:rPr>
          <w:rFonts w:eastAsia="Calibri"/>
        </w:rPr>
        <w:t xml:space="preserve"> και </w:t>
      </w:r>
      <w:r w:rsidR="00FB71FF">
        <w:rPr>
          <w:rFonts w:eastAsia="Calibri"/>
        </w:rPr>
        <w:t>Μ</w:t>
      </w:r>
      <w:r>
        <w:rPr>
          <w:rFonts w:eastAsia="Calibri"/>
        </w:rPr>
        <w:t xml:space="preserve">έγιστη </w:t>
      </w:r>
      <w:r w:rsidR="00FB71FF">
        <w:rPr>
          <w:rFonts w:eastAsia="Calibri"/>
        </w:rPr>
        <w:t>Ι</w:t>
      </w:r>
      <w:r>
        <w:rPr>
          <w:rFonts w:eastAsia="Calibri"/>
        </w:rPr>
        <w:t xml:space="preserve">σχύ </w:t>
      </w:r>
      <w:r w:rsidR="00FB71FF">
        <w:rPr>
          <w:rFonts w:eastAsia="Calibri"/>
        </w:rPr>
        <w:t>Α</w:t>
      </w:r>
      <w:r>
        <w:rPr>
          <w:rFonts w:eastAsia="Calibri"/>
        </w:rPr>
        <w:t xml:space="preserve">πορρόφησης μικρότερες των αναγραφόμενων στην οικεία Άδεια, δύναται να </w:t>
      </w:r>
      <w:r w:rsidR="00FB71FF">
        <w:rPr>
          <w:rFonts w:eastAsia="Calibri"/>
        </w:rPr>
        <w:t xml:space="preserve">δηλώσει την επιθυμητή ισχύ </w:t>
      </w:r>
      <w:r>
        <w:rPr>
          <w:rFonts w:eastAsia="Calibri"/>
        </w:rPr>
        <w:t>επιλέ</w:t>
      </w:r>
      <w:r w:rsidR="00FB71FF">
        <w:rPr>
          <w:rFonts w:eastAsia="Calibri"/>
        </w:rPr>
        <w:t>γοντας</w:t>
      </w:r>
      <w:r>
        <w:rPr>
          <w:rFonts w:eastAsia="Calibri"/>
        </w:rPr>
        <w:t xml:space="preserve"> στην Ηλεκτρονική Εφαρμογή το αντίστοιχο πεδίο και να επισυνάψει τα </w:t>
      </w:r>
      <w:r w:rsidR="00FB71FF">
        <w:rPr>
          <w:rFonts w:eastAsia="Calibri"/>
        </w:rPr>
        <w:t>απαιτούμενα σύμφωνα με το άρθρο 132ΣΤ του ν. 4001/2011 έγγραφα και</w:t>
      </w:r>
      <w:r>
        <w:rPr>
          <w:rFonts w:eastAsia="Calibri"/>
        </w:rPr>
        <w:t xml:space="preserve"> στοιχεία για την τροποποίηση </w:t>
      </w:r>
      <w:r w:rsidR="00FB71FF">
        <w:rPr>
          <w:rFonts w:eastAsia="Calibri"/>
        </w:rPr>
        <w:t>ή</w:t>
      </w:r>
      <w:r w:rsidR="007369A7" w:rsidRPr="007369A7">
        <w:rPr>
          <w:rFonts w:eastAsia="Calibri"/>
        </w:rPr>
        <w:t xml:space="preserve"> </w:t>
      </w:r>
      <w:r>
        <w:rPr>
          <w:rFonts w:eastAsia="Calibri"/>
        </w:rPr>
        <w:t xml:space="preserve">κατάτμηση της οικείας Άδειας Αποθήκευσης </w:t>
      </w:r>
      <w:r w:rsidR="00377EF8">
        <w:rPr>
          <w:rFonts w:eastAsia="Calibri"/>
        </w:rPr>
        <w:t xml:space="preserve">σύμφωνα με την </w:t>
      </w:r>
      <w:r w:rsidR="00377EF8" w:rsidRPr="005842AA">
        <w:rPr>
          <w:rFonts w:eastAsia="Calibri"/>
        </w:rPr>
        <w:t xml:space="preserve">παρ. </w:t>
      </w:r>
      <w:r w:rsidR="007369A7" w:rsidRPr="005842AA">
        <w:rPr>
          <w:rFonts w:eastAsia="Calibri"/>
        </w:rPr>
        <w:t>11.5.</w:t>
      </w:r>
      <w:r w:rsidR="00FB71FF" w:rsidRPr="005842AA">
        <w:rPr>
          <w:rFonts w:eastAsia="Calibri"/>
        </w:rPr>
        <w:t xml:space="preserve"> της</w:t>
      </w:r>
      <w:r w:rsidR="00FB71FF">
        <w:rPr>
          <w:rFonts w:eastAsia="Calibri"/>
        </w:rPr>
        <w:t xml:space="preserve"> Προκήρυξης. </w:t>
      </w:r>
    </w:p>
    <w:p w14:paraId="67C1203B" w14:textId="7E193D97" w:rsidR="00E42E04" w:rsidRDefault="00E42E04" w:rsidP="00E42E04">
      <w:pPr>
        <w:widowControl/>
        <w:tabs>
          <w:tab w:val="clear" w:pos="1189"/>
        </w:tabs>
        <w:autoSpaceDE/>
        <w:autoSpaceDN/>
        <w:spacing w:after="160" w:line="259" w:lineRule="auto"/>
        <w:ind w:left="284" w:right="0"/>
        <w:rPr>
          <w:rFonts w:eastAsia="Calibri"/>
        </w:rPr>
      </w:pPr>
      <w:r>
        <w:rPr>
          <w:rFonts w:eastAsia="Calibri"/>
        </w:rPr>
        <w:t xml:space="preserve">Ακολούθως, ο Ενδιαφερόμενος καλείται να </w:t>
      </w:r>
      <w:r w:rsidR="00B8475C">
        <w:rPr>
          <w:rFonts w:eastAsia="Calibri"/>
        </w:rPr>
        <w:t xml:space="preserve">επιλέξει </w:t>
      </w:r>
      <w:r w:rsidR="00B8475C" w:rsidRPr="00B8475C">
        <w:rPr>
          <w:rFonts w:eastAsia="Calibri"/>
        </w:rPr>
        <w:t>τη μορφή του [φυσικό πρόσωπο, Α.Ε., Ε.Π.Ε., προσωπικές εταιρίες (Ο.Ε. – Ε.Ε. – Αστική εταιρία), Ι.Κ.Ε. ή λοιπά νομικά πρόσωπα]</w:t>
      </w:r>
      <w:r w:rsidR="00B8475C">
        <w:rPr>
          <w:rFonts w:eastAsia="Calibri"/>
        </w:rPr>
        <w:t xml:space="preserve"> και να </w:t>
      </w:r>
      <w:r>
        <w:rPr>
          <w:rFonts w:eastAsia="Calibri"/>
        </w:rPr>
        <w:t xml:space="preserve">υποβάλει </w:t>
      </w:r>
      <w:r w:rsidRPr="00E42E04">
        <w:rPr>
          <w:rFonts w:eastAsia="Calibri"/>
        </w:rPr>
        <w:t xml:space="preserve">την Αίτηση Συμμετοχής – Υπεύθυνη Δήλωση και τα </w:t>
      </w:r>
      <w:r w:rsidR="00B8475C">
        <w:rPr>
          <w:rFonts w:eastAsia="Calibri"/>
        </w:rPr>
        <w:t xml:space="preserve">απαιτούμενα κατά περίπτωση </w:t>
      </w:r>
      <w:r w:rsidRPr="00E42E04">
        <w:rPr>
          <w:rFonts w:eastAsia="Calibri"/>
        </w:rPr>
        <w:t>Δικαιολογητικά Συμμετοχής</w:t>
      </w:r>
      <w:r>
        <w:rPr>
          <w:rFonts w:eastAsia="Calibri"/>
        </w:rPr>
        <w:t>.</w:t>
      </w:r>
    </w:p>
    <w:p w14:paraId="606D3859" w14:textId="259629D2" w:rsidR="00B8475C" w:rsidRPr="007369A7" w:rsidRDefault="00B8475C" w:rsidP="00E42E04">
      <w:pPr>
        <w:widowControl/>
        <w:tabs>
          <w:tab w:val="clear" w:pos="1189"/>
        </w:tabs>
        <w:autoSpaceDE/>
        <w:autoSpaceDN/>
        <w:spacing w:after="160" w:line="259" w:lineRule="auto"/>
        <w:ind w:left="284" w:right="0"/>
        <w:rPr>
          <w:rFonts w:eastAsia="Calibri"/>
        </w:rPr>
      </w:pPr>
      <w:r>
        <w:rPr>
          <w:rFonts w:eastAsia="Calibri"/>
        </w:rPr>
        <w:t>Εν συνεχεία, ο Ενδιαφερόμενος συμπληρώνει την οικονομική Προσφορά (€/</w:t>
      </w:r>
      <w:r>
        <w:rPr>
          <w:rFonts w:eastAsia="Calibri"/>
          <w:lang w:val="en-US"/>
        </w:rPr>
        <w:t>MW</w:t>
      </w:r>
      <w:r w:rsidRPr="003F0DAE">
        <w:rPr>
          <w:rFonts w:eastAsia="Calibri"/>
        </w:rPr>
        <w:t>/</w:t>
      </w:r>
      <w:r>
        <w:rPr>
          <w:rFonts w:eastAsia="Calibri"/>
        </w:rPr>
        <w:t xml:space="preserve">έτος) στο αντίστοιχο πεδίο και </w:t>
      </w:r>
      <w:r w:rsidR="0087425F">
        <w:rPr>
          <w:rFonts w:eastAsia="Calibri"/>
        </w:rPr>
        <w:t>επισυνάπτει</w:t>
      </w:r>
      <w:r>
        <w:rPr>
          <w:rFonts w:eastAsia="Calibri"/>
        </w:rPr>
        <w:t xml:space="preserve"> </w:t>
      </w:r>
      <w:r w:rsidR="00583F95">
        <w:rPr>
          <w:rFonts w:eastAsia="Calibri"/>
        </w:rPr>
        <w:t>το σχετικό έγγραφο με την οικονομική Προσφορά</w:t>
      </w:r>
      <w:r w:rsidR="00377EF8">
        <w:rPr>
          <w:rFonts w:eastAsia="Calibri"/>
        </w:rPr>
        <w:t xml:space="preserve"> σύμφωνα με την παρ</w:t>
      </w:r>
      <w:r w:rsidR="00377EF8" w:rsidRPr="009807AC">
        <w:rPr>
          <w:rFonts w:eastAsia="Calibri"/>
        </w:rPr>
        <w:t xml:space="preserve">. </w:t>
      </w:r>
      <w:r w:rsidR="007369A7" w:rsidRPr="009807AC">
        <w:rPr>
          <w:rFonts w:eastAsia="Calibri"/>
        </w:rPr>
        <w:t>11.4.</w:t>
      </w:r>
      <w:r w:rsidR="00CF3A00">
        <w:rPr>
          <w:rFonts w:eastAsia="Calibri"/>
        </w:rPr>
        <w:t xml:space="preserve"> κα</w:t>
      </w:r>
      <w:r w:rsidR="00AC289F">
        <w:rPr>
          <w:rFonts w:eastAsia="Calibri"/>
        </w:rPr>
        <w:t>θώς και</w:t>
      </w:r>
      <w:r w:rsidR="00CF3A00">
        <w:rPr>
          <w:rFonts w:eastAsia="Calibri"/>
        </w:rPr>
        <w:t xml:space="preserve"> την Τεχνική Προσφορά σύμφωνα με την παρ. 11.5.</w:t>
      </w:r>
    </w:p>
    <w:p w14:paraId="64758495" w14:textId="1D01529E" w:rsidR="0061044B" w:rsidRDefault="00583F95" w:rsidP="0061044B">
      <w:pPr>
        <w:widowControl/>
        <w:tabs>
          <w:tab w:val="clear" w:pos="1189"/>
        </w:tabs>
        <w:autoSpaceDE/>
        <w:autoSpaceDN/>
        <w:spacing w:after="160" w:line="259" w:lineRule="auto"/>
        <w:ind w:left="284" w:right="0"/>
        <w:rPr>
          <w:rFonts w:eastAsia="Calibri"/>
        </w:rPr>
      </w:pPr>
      <w:r>
        <w:rPr>
          <w:rFonts w:eastAsia="Calibri"/>
        </w:rPr>
        <w:t>Τέλος, ο Ενδιαφερόμενος οφείλει ν</w:t>
      </w:r>
      <w:r w:rsidRPr="00583F95">
        <w:rPr>
          <w:rFonts w:eastAsia="Calibri"/>
        </w:rPr>
        <w:t>α χρησιμοποιήσει το</w:t>
      </w:r>
      <w:r w:rsidR="0061044B">
        <w:rPr>
          <w:rFonts w:eastAsia="Calibri"/>
        </w:rPr>
        <w:t>ν</w:t>
      </w:r>
      <w:r w:rsidRPr="00583F95">
        <w:rPr>
          <w:rFonts w:eastAsia="Calibri"/>
        </w:rPr>
        <w:t xml:space="preserve"> μοναδικό Κωδικό Πληρωμής, ο οποίος προκύπτει αυτόματα από το σύστημα </w:t>
      </w:r>
      <w:r w:rsidR="0061044B">
        <w:rPr>
          <w:rFonts w:eastAsia="Calibri"/>
        </w:rPr>
        <w:t xml:space="preserve">με </w:t>
      </w:r>
      <w:r>
        <w:rPr>
          <w:rFonts w:eastAsia="Calibri"/>
        </w:rPr>
        <w:t xml:space="preserve">την ολοκλήρωση </w:t>
      </w:r>
      <w:r w:rsidR="00377EF8">
        <w:rPr>
          <w:rFonts w:eastAsia="Calibri"/>
        </w:rPr>
        <w:t xml:space="preserve">της </w:t>
      </w:r>
      <w:r>
        <w:rPr>
          <w:rFonts w:eastAsia="Calibri"/>
        </w:rPr>
        <w:t>υποβολής των ανωτέρω Δικαιολογητικών Συμμετοχής</w:t>
      </w:r>
      <w:r w:rsidR="0061044B" w:rsidRPr="00583F95">
        <w:rPr>
          <w:rFonts w:eastAsia="Calibri"/>
        </w:rPr>
        <w:t xml:space="preserve"> και να προβεί στη σχετική πληρωμή του</w:t>
      </w:r>
      <w:r w:rsidR="0061044B">
        <w:rPr>
          <w:rFonts w:eastAsia="Calibri"/>
        </w:rPr>
        <w:t xml:space="preserve">, </w:t>
      </w:r>
      <w:r w:rsidR="005842AA">
        <w:rPr>
          <w:rFonts w:eastAsia="Calibri"/>
        </w:rPr>
        <w:t xml:space="preserve">εντός της καταληκτικής ημερομηνίας, </w:t>
      </w:r>
      <w:r w:rsidR="005842AA" w:rsidRPr="003F0DAE">
        <w:rPr>
          <w:rFonts w:eastAsia="Calibri"/>
        </w:rPr>
        <w:t>σύμφωνα με το χρονοδιάγραμμα της Προκήρυξης, όπως αποτυπώνεται στον Πίνακα 2</w:t>
      </w:r>
      <w:r w:rsidR="005842AA">
        <w:rPr>
          <w:rFonts w:eastAsia="Calibri"/>
        </w:rPr>
        <w:t xml:space="preserve">, </w:t>
      </w:r>
      <w:r w:rsidR="0061044B">
        <w:rPr>
          <w:rFonts w:eastAsia="Calibri"/>
        </w:rPr>
        <w:t xml:space="preserve">προκειμένου </w:t>
      </w:r>
      <w:r w:rsidR="005842AA">
        <w:rPr>
          <w:rFonts w:eastAsia="Calibri"/>
        </w:rPr>
        <w:t>η Αίτηση Συμμετοχής να γίνει αποδεκτή και να συμμετάσχει στη διαδικασία αξιολόγησης</w:t>
      </w:r>
      <w:r w:rsidR="0061044B">
        <w:rPr>
          <w:rFonts w:eastAsia="Calibri"/>
        </w:rPr>
        <w:t>.</w:t>
      </w:r>
    </w:p>
    <w:p w14:paraId="6FCB7089" w14:textId="39EC0FA6" w:rsidR="00C71386" w:rsidRPr="003F0DAE" w:rsidRDefault="00C71386" w:rsidP="0061044B">
      <w:pPr>
        <w:widowControl/>
        <w:tabs>
          <w:tab w:val="clear" w:pos="1189"/>
        </w:tabs>
        <w:autoSpaceDE/>
        <w:autoSpaceDN/>
        <w:spacing w:after="160" w:line="259" w:lineRule="auto"/>
        <w:ind w:left="284" w:right="0"/>
        <w:rPr>
          <w:rFonts w:eastAsia="Calibri"/>
        </w:rPr>
      </w:pPr>
      <w:r w:rsidRPr="003F0DAE">
        <w:rPr>
          <w:rFonts w:eastAsia="Calibri"/>
        </w:rPr>
        <w:t xml:space="preserve">Ρητά σημειώνεται ότι, μετά την οριστική ηλεκτρονική υποβολή της Αίτησης Συμμετοχής – Υπεύθυνης Δήλωσης και των Δικαιολογητικών Συμμετοχής, ο Συμμετέχων πρέπει, επί ποινή αποκλεισμού, εντός της </w:t>
      </w:r>
      <w:r w:rsidR="00377EF8">
        <w:rPr>
          <w:rFonts w:eastAsia="Calibri"/>
        </w:rPr>
        <w:t>αποκλειστικής</w:t>
      </w:r>
      <w:r w:rsidRPr="003F0DAE">
        <w:rPr>
          <w:rFonts w:eastAsia="Calibri"/>
        </w:rPr>
        <w:t xml:space="preserve"> προθεσμίας, που καθορίζεται στο χρονοδιάγραμμα</w:t>
      </w:r>
      <w:r w:rsidR="0061044B">
        <w:rPr>
          <w:rFonts w:eastAsia="Calibri"/>
        </w:rPr>
        <w:t xml:space="preserve"> του Πίνακα 2</w:t>
      </w:r>
      <w:r w:rsidRPr="003F0DAE">
        <w:rPr>
          <w:rFonts w:eastAsia="Calibri"/>
        </w:rPr>
        <w:t xml:space="preserve"> </w:t>
      </w:r>
      <w:r w:rsidR="007369A7">
        <w:rPr>
          <w:rFonts w:eastAsia="Calibri"/>
        </w:rPr>
        <w:t xml:space="preserve">του Παραρτήματος Α </w:t>
      </w:r>
      <w:r w:rsidRPr="003F0DAE">
        <w:rPr>
          <w:rFonts w:eastAsia="Calibri"/>
        </w:rPr>
        <w:t xml:space="preserve">της παρούσας Προκήρυξης, να καταθέσει στο πρωτόκολλο της Ρ.Α.Α.Ε.Υ. κλειστό και σφραγισμένο φάκελο με την Εγγυητική Επιστολή Συμμετοχής, όπως αναφέρεται και στην παράγραφο </w:t>
      </w:r>
      <w:r w:rsidR="007369A7" w:rsidRPr="009807AC">
        <w:rPr>
          <w:rFonts w:eastAsia="Calibri"/>
        </w:rPr>
        <w:t>11.3.1.</w:t>
      </w:r>
      <w:r w:rsidRPr="003F0DAE">
        <w:rPr>
          <w:rFonts w:eastAsia="Calibri"/>
        </w:rPr>
        <w:t xml:space="preserve"> της παρούσας Προκήρυξης με την ένδειξη:</w:t>
      </w:r>
    </w:p>
    <w:p w14:paraId="6AA93858" w14:textId="5D6B15CE" w:rsidR="00C71386" w:rsidRPr="003F0DAE" w:rsidRDefault="00C71386" w:rsidP="00C71386">
      <w:pPr>
        <w:widowControl/>
        <w:tabs>
          <w:tab w:val="clear" w:pos="1189"/>
        </w:tabs>
        <w:autoSpaceDE/>
        <w:autoSpaceDN/>
        <w:spacing w:after="160" w:line="259" w:lineRule="auto"/>
        <w:ind w:left="284" w:right="0"/>
        <w:rPr>
          <w:rFonts w:eastAsia="Calibri"/>
        </w:rPr>
      </w:pPr>
      <w:r w:rsidRPr="003F0DAE">
        <w:rPr>
          <w:rFonts w:eastAsia="Calibri"/>
        </w:rPr>
        <w:t xml:space="preserve">«ΡΥΘΜΙΣΤΙΚΗ ΑΡΧΗ </w:t>
      </w:r>
      <w:r w:rsidR="00FB71FF" w:rsidRPr="003F0DAE">
        <w:rPr>
          <w:rFonts w:eastAsia="Calibri"/>
        </w:rPr>
        <w:t xml:space="preserve">ΑΠΟΒΛΗΤΩΝ, </w:t>
      </w:r>
      <w:r w:rsidRPr="003F0DAE">
        <w:rPr>
          <w:rFonts w:eastAsia="Calibri"/>
        </w:rPr>
        <w:t>ΕΝΕΡΓΕΙΑΣ</w:t>
      </w:r>
      <w:r w:rsidR="00FB71FF" w:rsidRPr="003F0DAE">
        <w:rPr>
          <w:rFonts w:eastAsia="Calibri"/>
        </w:rPr>
        <w:t xml:space="preserve"> ΚΑΙ ΥΔΑΤΩΝ</w:t>
      </w:r>
    </w:p>
    <w:p w14:paraId="78E37C7B" w14:textId="44EA8C36" w:rsidR="00C71386" w:rsidRPr="003F0DAE" w:rsidRDefault="00C71386" w:rsidP="00C71386">
      <w:pPr>
        <w:widowControl/>
        <w:tabs>
          <w:tab w:val="clear" w:pos="1189"/>
        </w:tabs>
        <w:autoSpaceDE/>
        <w:autoSpaceDN/>
        <w:spacing w:after="160" w:line="259" w:lineRule="auto"/>
        <w:ind w:left="284" w:right="0"/>
        <w:rPr>
          <w:rFonts w:eastAsia="Calibri"/>
        </w:rPr>
      </w:pPr>
      <w:r w:rsidRPr="003F0DAE">
        <w:rPr>
          <w:rFonts w:eastAsia="Calibri"/>
        </w:rPr>
        <w:t xml:space="preserve">ΠΡΟΚΗΡΥΞΗ </w:t>
      </w:r>
      <w:r w:rsidR="005842AA">
        <w:rPr>
          <w:rFonts w:eastAsia="Calibri"/>
        </w:rPr>
        <w:t xml:space="preserve">Ρ.Α.Α.Ε.Υ. </w:t>
      </w:r>
      <w:r w:rsidRPr="003F0DAE">
        <w:rPr>
          <w:rFonts w:eastAsia="Calibri"/>
        </w:rPr>
        <w:t>[1/2023]</w:t>
      </w:r>
    </w:p>
    <w:p w14:paraId="4A2B65D5" w14:textId="77777777" w:rsidR="00C71386" w:rsidRPr="003F0DAE" w:rsidRDefault="00C71386" w:rsidP="00C71386">
      <w:pPr>
        <w:widowControl/>
        <w:tabs>
          <w:tab w:val="clear" w:pos="1189"/>
        </w:tabs>
        <w:autoSpaceDE/>
        <w:autoSpaceDN/>
        <w:spacing w:after="160" w:line="259" w:lineRule="auto"/>
        <w:ind w:left="284" w:right="0"/>
        <w:rPr>
          <w:rFonts w:eastAsia="Calibri"/>
        </w:rPr>
      </w:pPr>
      <w:r w:rsidRPr="003F0DAE">
        <w:rPr>
          <w:rFonts w:eastAsia="Calibri"/>
        </w:rPr>
        <w:t>ΑΝΤΑΓΩΝΙΣΤΙΚΗ ΔΙΑΔΙΚΑΣΙΑ ΥΠΟΒΟΛΗΣ ΠΡΟΣΦΟΡΩΝ ΓΙΑ ΤΗ ΧΟΡΗΓΗΣΗ ΕΠΕΝΔΥΤΙΚΗΣ ΚΑΙ ΛΕΙΤΟΥΡΓΙΚΗΣ ΕΝΙΣΧΥΣΗΣ ΣΕ ΣΤΑΘΜΟΥΣ ΑΠΟΘΗΚΕΥΣΗΣ ΗΛΕΚΤΡΙΚΗΣ ΕΝΕΡΓΕΙΑΣ</w:t>
      </w:r>
    </w:p>
    <w:p w14:paraId="7DEE6CA0" w14:textId="77777777" w:rsidR="00C71386" w:rsidRPr="003F0DAE" w:rsidRDefault="00C71386" w:rsidP="00D513B4">
      <w:pPr>
        <w:widowControl/>
        <w:tabs>
          <w:tab w:val="clear" w:pos="1189"/>
        </w:tabs>
        <w:autoSpaceDE/>
        <w:autoSpaceDN/>
        <w:spacing w:after="160" w:line="259" w:lineRule="auto"/>
        <w:ind w:left="284" w:right="0"/>
        <w:rPr>
          <w:rFonts w:eastAsia="Calibri"/>
        </w:rPr>
      </w:pPr>
      <w:r w:rsidRPr="003F0DAE">
        <w:rPr>
          <w:rFonts w:eastAsia="Calibri"/>
        </w:rPr>
        <w:t>[Ονοματεπώνυμο/Επωνυμία Συμμετέχοντος, Μοναδικός Αριθμός Υποβολής Αίτησης (Δ-ΧΧΧΧΧ)]»</w:t>
      </w:r>
    </w:p>
    <w:p w14:paraId="2CAFB155" w14:textId="77777777" w:rsidR="003915E7" w:rsidRDefault="003915E7" w:rsidP="00D513B4">
      <w:pPr>
        <w:widowControl/>
        <w:tabs>
          <w:tab w:val="clear" w:pos="1189"/>
        </w:tabs>
        <w:autoSpaceDE/>
        <w:autoSpaceDN/>
        <w:spacing w:before="120" w:after="120" w:line="259" w:lineRule="auto"/>
        <w:ind w:left="284" w:right="0"/>
        <w:contextualSpacing/>
        <w:rPr>
          <w:rFonts w:eastAsia="Calibri"/>
          <w:color w:val="000000"/>
          <w:szCs w:val="24"/>
          <w:lang w:eastAsia="el-GR"/>
        </w:rPr>
      </w:pPr>
    </w:p>
    <w:p w14:paraId="4B3D941B" w14:textId="77777777" w:rsidR="002E557B" w:rsidRDefault="002E557B" w:rsidP="00D513B4">
      <w:pPr>
        <w:widowControl/>
        <w:tabs>
          <w:tab w:val="clear" w:pos="1189"/>
        </w:tabs>
        <w:autoSpaceDE/>
        <w:autoSpaceDN/>
        <w:spacing w:before="120" w:after="120" w:line="259" w:lineRule="auto"/>
        <w:ind w:left="284" w:right="0"/>
        <w:contextualSpacing/>
        <w:rPr>
          <w:rFonts w:eastAsia="Calibri"/>
          <w:color w:val="000000"/>
          <w:szCs w:val="24"/>
          <w:lang w:eastAsia="el-GR"/>
        </w:rPr>
      </w:pPr>
    </w:p>
    <w:p w14:paraId="666E67C9" w14:textId="77777777" w:rsidR="002E557B" w:rsidRDefault="002E557B" w:rsidP="00D513B4">
      <w:pPr>
        <w:widowControl/>
        <w:tabs>
          <w:tab w:val="clear" w:pos="1189"/>
        </w:tabs>
        <w:autoSpaceDE/>
        <w:autoSpaceDN/>
        <w:spacing w:before="120" w:after="120" w:line="259" w:lineRule="auto"/>
        <w:ind w:left="284" w:right="0"/>
        <w:contextualSpacing/>
        <w:rPr>
          <w:rFonts w:eastAsia="Calibri"/>
          <w:color w:val="000000"/>
          <w:szCs w:val="24"/>
          <w:lang w:eastAsia="el-GR"/>
        </w:rPr>
      </w:pPr>
    </w:p>
    <w:p w14:paraId="27CE817C" w14:textId="77777777" w:rsidR="002E557B" w:rsidRDefault="002E557B" w:rsidP="00D513B4">
      <w:pPr>
        <w:widowControl/>
        <w:tabs>
          <w:tab w:val="clear" w:pos="1189"/>
        </w:tabs>
        <w:autoSpaceDE/>
        <w:autoSpaceDN/>
        <w:spacing w:before="120" w:after="120" w:line="259" w:lineRule="auto"/>
        <w:ind w:left="284" w:right="0"/>
        <w:contextualSpacing/>
        <w:rPr>
          <w:rFonts w:eastAsia="Calibri"/>
          <w:color w:val="000000"/>
          <w:szCs w:val="24"/>
          <w:lang w:eastAsia="el-GR"/>
        </w:rPr>
      </w:pPr>
    </w:p>
    <w:p w14:paraId="12CFF1DA" w14:textId="77777777" w:rsidR="002E557B" w:rsidRDefault="002E557B" w:rsidP="00D513B4">
      <w:pPr>
        <w:widowControl/>
        <w:tabs>
          <w:tab w:val="clear" w:pos="1189"/>
        </w:tabs>
        <w:autoSpaceDE/>
        <w:autoSpaceDN/>
        <w:spacing w:before="120" w:after="120" w:line="259" w:lineRule="auto"/>
        <w:ind w:left="284" w:right="0"/>
        <w:contextualSpacing/>
        <w:rPr>
          <w:rFonts w:eastAsia="Calibri"/>
          <w:color w:val="000000"/>
          <w:szCs w:val="24"/>
          <w:lang w:eastAsia="el-GR"/>
        </w:rPr>
      </w:pPr>
    </w:p>
    <w:p w14:paraId="4ED58205" w14:textId="77777777" w:rsidR="002E557B" w:rsidRDefault="002E557B" w:rsidP="00D513B4">
      <w:pPr>
        <w:widowControl/>
        <w:tabs>
          <w:tab w:val="clear" w:pos="1189"/>
        </w:tabs>
        <w:autoSpaceDE/>
        <w:autoSpaceDN/>
        <w:spacing w:before="120" w:after="120" w:line="259" w:lineRule="auto"/>
        <w:ind w:left="284" w:right="0"/>
        <w:contextualSpacing/>
        <w:rPr>
          <w:rFonts w:eastAsia="Calibri"/>
          <w:color w:val="000000"/>
          <w:szCs w:val="24"/>
          <w:lang w:eastAsia="el-GR"/>
        </w:rPr>
      </w:pPr>
    </w:p>
    <w:p w14:paraId="787AE4ED" w14:textId="77777777" w:rsidR="002E557B" w:rsidRDefault="002E557B" w:rsidP="00D513B4">
      <w:pPr>
        <w:widowControl/>
        <w:tabs>
          <w:tab w:val="clear" w:pos="1189"/>
        </w:tabs>
        <w:autoSpaceDE/>
        <w:autoSpaceDN/>
        <w:spacing w:before="120" w:after="120" w:line="259" w:lineRule="auto"/>
        <w:ind w:left="284" w:right="0"/>
        <w:contextualSpacing/>
        <w:rPr>
          <w:rFonts w:eastAsia="Calibri"/>
          <w:color w:val="000000"/>
          <w:szCs w:val="24"/>
          <w:lang w:eastAsia="el-GR"/>
        </w:rPr>
      </w:pPr>
    </w:p>
    <w:p w14:paraId="1A5B7F2D" w14:textId="77777777" w:rsidR="002E557B" w:rsidRDefault="002E557B" w:rsidP="00D513B4">
      <w:pPr>
        <w:widowControl/>
        <w:tabs>
          <w:tab w:val="clear" w:pos="1189"/>
        </w:tabs>
        <w:autoSpaceDE/>
        <w:autoSpaceDN/>
        <w:spacing w:before="120" w:after="120" w:line="259" w:lineRule="auto"/>
        <w:ind w:left="284" w:right="0"/>
        <w:contextualSpacing/>
        <w:rPr>
          <w:rFonts w:eastAsia="Calibri"/>
          <w:color w:val="000000"/>
          <w:szCs w:val="24"/>
          <w:lang w:eastAsia="el-GR"/>
        </w:rPr>
      </w:pPr>
    </w:p>
    <w:p w14:paraId="1DCE4C7B" w14:textId="051621D7" w:rsidR="00354C65" w:rsidRDefault="00FB71FF" w:rsidP="00E76414">
      <w:r w:rsidRPr="003F0DAE">
        <w:rPr>
          <w:b/>
          <w:bCs/>
        </w:rPr>
        <w:lastRenderedPageBreak/>
        <w:t>11.2.</w:t>
      </w:r>
      <w:r>
        <w:t xml:space="preserve"> </w:t>
      </w:r>
      <w:r w:rsidR="003915E7" w:rsidRPr="003F0DAE">
        <w:t xml:space="preserve">Συγκεκριμένα, η </w:t>
      </w:r>
      <w:r w:rsidR="00201300" w:rsidRPr="003F0DAE">
        <w:rPr>
          <w:b/>
          <w:bCs/>
        </w:rPr>
        <w:t>Αίτηση Συμμετοχής</w:t>
      </w:r>
      <w:r w:rsidR="00007102" w:rsidRPr="003F0DAE">
        <w:rPr>
          <w:b/>
          <w:bCs/>
        </w:rPr>
        <w:t xml:space="preserve"> </w:t>
      </w:r>
      <w:r w:rsidR="00201300" w:rsidRPr="003F0DAE">
        <w:rPr>
          <w:b/>
          <w:bCs/>
        </w:rPr>
        <w:t>– Υπεύθυνη Δήλωση και τα Δικαιολογητικά Συμμετοχής</w:t>
      </w:r>
      <w:r w:rsidR="00201300">
        <w:t xml:space="preserve"> περιλαμβάνουν τα ακόλουθα έγγραφα και στοιχεία:</w:t>
      </w:r>
    </w:p>
    <w:p w14:paraId="3ED540FF" w14:textId="77777777" w:rsidR="007369A7" w:rsidRPr="003F0DAE" w:rsidRDefault="007369A7" w:rsidP="00E76414"/>
    <w:p w14:paraId="6105A6D2" w14:textId="41E005BD" w:rsidR="000546D5" w:rsidRPr="004E7B57" w:rsidRDefault="002B6924" w:rsidP="00E76414">
      <w:r w:rsidRPr="004E7B57">
        <w:rPr>
          <w:b/>
        </w:rPr>
        <w:t>1</w:t>
      </w:r>
      <w:r w:rsidR="009A0818" w:rsidRPr="004E7B57">
        <w:rPr>
          <w:b/>
        </w:rPr>
        <w:t>1</w:t>
      </w:r>
      <w:r w:rsidRPr="004E7B57">
        <w:rPr>
          <w:b/>
        </w:rPr>
        <w:t>.</w:t>
      </w:r>
      <w:r w:rsidR="00FB71FF">
        <w:rPr>
          <w:b/>
        </w:rPr>
        <w:t>2</w:t>
      </w:r>
      <w:r w:rsidRPr="004E7B57">
        <w:rPr>
          <w:b/>
        </w:rPr>
        <w:t>.1</w:t>
      </w:r>
      <w:r w:rsidR="005D1A14" w:rsidRPr="004E7B57">
        <w:rPr>
          <w:b/>
        </w:rPr>
        <w:t>.</w:t>
      </w:r>
      <w:r w:rsidRPr="004E7B57">
        <w:rPr>
          <w:b/>
        </w:rPr>
        <w:t xml:space="preserve"> </w:t>
      </w:r>
      <w:r w:rsidR="002834CA" w:rsidRPr="004E7B57">
        <w:rPr>
          <w:b/>
        </w:rPr>
        <w:t xml:space="preserve">Αίτηση Συμμετοχής– Υπεύθυνη Δήλωση </w:t>
      </w:r>
      <w:r w:rsidR="002834CA" w:rsidRPr="004E7B57">
        <w:t xml:space="preserve">πλήρως συμπληρωμένη, υπογεγραμμένη από το Συμμετέχον φυσικό πρόσωπο ή τον νόμιμο εκπρόσωπο του Συμμετέχοντος νομικού προσώπου, σύμφωνα με το υπόδειγμα του </w:t>
      </w:r>
      <w:r w:rsidR="002834CA" w:rsidRPr="009807AC">
        <w:t>Παραρτήματος</w:t>
      </w:r>
      <w:r w:rsidR="00F2748D" w:rsidRPr="009807AC">
        <w:t xml:space="preserve"> </w:t>
      </w:r>
      <w:r w:rsidR="002834CA" w:rsidRPr="009807AC">
        <w:t>Β</w:t>
      </w:r>
      <w:r w:rsidR="002834CA" w:rsidRPr="004E7B57">
        <w:t xml:space="preserve"> της παρούσας Προκήρυξης, με θεωρημένο το γνήσιο της υπογραφής του υπογράφοντος προσώπου </w:t>
      </w:r>
      <w:r w:rsidR="00F056AD">
        <w:t xml:space="preserve">μέσω της πλατφόρμας </w:t>
      </w:r>
      <w:hyperlink r:id="rId16" w:history="1">
        <w:r w:rsidR="00F056AD" w:rsidRPr="00E227B1">
          <w:rPr>
            <w:rStyle w:val="-"/>
            <w:lang w:val="en-US"/>
          </w:rPr>
          <w:t>www</w:t>
        </w:r>
        <w:r w:rsidR="00F056AD" w:rsidRPr="00E227B1">
          <w:rPr>
            <w:rStyle w:val="-"/>
          </w:rPr>
          <w:t>.</w:t>
        </w:r>
        <w:r w:rsidR="00F056AD" w:rsidRPr="00E227B1">
          <w:rPr>
            <w:rStyle w:val="-"/>
            <w:lang w:val="en-US"/>
          </w:rPr>
          <w:t>gov</w:t>
        </w:r>
        <w:r w:rsidR="00F056AD" w:rsidRPr="00E227B1">
          <w:rPr>
            <w:rStyle w:val="-"/>
          </w:rPr>
          <w:t>.</w:t>
        </w:r>
        <w:r w:rsidR="00F056AD" w:rsidRPr="00E227B1">
          <w:rPr>
            <w:rStyle w:val="-"/>
            <w:lang w:val="en-US"/>
          </w:rPr>
          <w:t>gr</w:t>
        </w:r>
      </w:hyperlink>
      <w:r w:rsidR="00F056AD">
        <w:t xml:space="preserve"> ή</w:t>
      </w:r>
      <w:r w:rsidR="00F056AD" w:rsidRPr="004E7B57">
        <w:t xml:space="preserve"> </w:t>
      </w:r>
      <w:r w:rsidR="002834CA" w:rsidRPr="004E7B57">
        <w:t>από αρμόδια αρχή</w:t>
      </w:r>
      <w:r w:rsidR="009807AC">
        <w:t xml:space="preserve">, </w:t>
      </w:r>
      <w:r w:rsidR="002834CA" w:rsidRPr="004E7B57">
        <w:t>στην οποία:</w:t>
      </w:r>
    </w:p>
    <w:p w14:paraId="30DDA440" w14:textId="36F83450" w:rsidR="000546D5" w:rsidRPr="004E7B57" w:rsidRDefault="00856EDC" w:rsidP="00E67595">
      <w:pPr>
        <w:pStyle w:val="a4"/>
        <w:numPr>
          <w:ilvl w:val="0"/>
          <w:numId w:val="11"/>
        </w:numPr>
      </w:pPr>
      <w:r w:rsidRPr="004E7B57">
        <w:t>Καταγράφονται αναλυτικά το σύνολο των στοιχείων του Συμμετέχοντος (</w:t>
      </w:r>
      <w:r w:rsidR="007923A8">
        <w:t>όνομα/</w:t>
      </w:r>
      <w:r w:rsidRPr="004E7B57">
        <w:t xml:space="preserve">επωνυμία, </w:t>
      </w:r>
      <w:r w:rsidR="007923A8">
        <w:t>κατοικία/</w:t>
      </w:r>
      <w:r w:rsidRPr="004E7B57">
        <w:t>έδρα, νόμιμος εκπρόσωπος, στοιχεία επικοινωνίας) και σε περίπτωση νομικού προσώπου, γνωστοποιούνται μέχρι φυσικού προσώπου οι μέτοχοι/εταίροι αυτού, πλην των εισηγμένων εταιρειών, των ανωνύμων εταιρειών επενδύσεων χαρτοφυλακίου και των χρηματοδοτικών εταιρειών συμμετοχών.</w:t>
      </w:r>
    </w:p>
    <w:p w14:paraId="41F2FC8C" w14:textId="2C34352F" w:rsidR="000546D5" w:rsidRPr="004E7B57" w:rsidRDefault="00856EDC" w:rsidP="00E67595">
      <w:pPr>
        <w:pStyle w:val="a4"/>
        <w:numPr>
          <w:ilvl w:val="0"/>
          <w:numId w:val="11"/>
        </w:numPr>
      </w:pPr>
      <w:r w:rsidRPr="004E7B57">
        <w:t>Δηλώνουν υπεύθυνα, σύμφωνα με το άρθρο 8 του ν. 1599/1986, ότι:</w:t>
      </w:r>
    </w:p>
    <w:p w14:paraId="21CF63C6" w14:textId="69E9174D" w:rsidR="000546D5" w:rsidRPr="004E7B57" w:rsidRDefault="00856EDC" w:rsidP="00E67595">
      <w:pPr>
        <w:pStyle w:val="a3"/>
        <w:numPr>
          <w:ilvl w:val="0"/>
          <w:numId w:val="4"/>
        </w:numPr>
        <w:ind w:left="1134" w:hanging="283"/>
      </w:pPr>
      <w:r w:rsidRPr="004E7B57">
        <w:t>Αποδέχονται ανεπιφύλακτα όλους τους όρους της Προκήρυξης.</w:t>
      </w:r>
    </w:p>
    <w:p w14:paraId="2C335F66" w14:textId="2E2FCCE6" w:rsidR="000546D5" w:rsidRPr="004E7B57" w:rsidRDefault="00856EDC" w:rsidP="00E67595">
      <w:pPr>
        <w:pStyle w:val="a3"/>
        <w:numPr>
          <w:ilvl w:val="0"/>
          <w:numId w:val="4"/>
        </w:numPr>
        <w:ind w:left="1134" w:hanging="283"/>
      </w:pPr>
      <w:r w:rsidRPr="004E7B57">
        <w:t>Όλα τα στοιχεία που υποβάλλονται είναι αληθή και το σύνολο των αδειών, εγκρίσεων, συμβάσεων κ.λπ. τυπικών δικαιολογητικών που υποβάλλουν δεν έχουν ακυρωθεί και είναι σε ισχύ κατά την ημερομηνία υποβολής της Αίτησης Συμμετοχής και έχουν τηρήσει τους όρους αυτών.</w:t>
      </w:r>
    </w:p>
    <w:p w14:paraId="49DF95EF" w14:textId="7AD46AEB" w:rsidR="000546D5" w:rsidRPr="004E7B57" w:rsidRDefault="00856EDC" w:rsidP="00E67595">
      <w:pPr>
        <w:pStyle w:val="a3"/>
        <w:numPr>
          <w:ilvl w:val="0"/>
          <w:numId w:val="4"/>
        </w:numPr>
        <w:ind w:left="1134" w:hanging="283"/>
      </w:pPr>
      <w:r w:rsidRPr="004E7B57">
        <w:t>Σε περίπτωση νομικού προσώπου, ότι δεν έχουν γίνει άλλες τροποποιήσεις στο Καταστατικό, εκτός όσων αναφέρονται στα σχετικά έγγραφα που προσκομίσθηκαν, ότι τα όργανα διοίκησης του νομικού προσώπου, η σύνθεση του αρμοδίου οργάνου, η συγκρότησή του σε σώμα και οι αρμοδιότητες και εξουσίες των εκπροσώπων του νομικού προσώπου - εταιρίας είναι πράγματι αυτές που αναφέρονται στο σχετικό πιστοποιητικό εκπροσώπησης.</w:t>
      </w:r>
    </w:p>
    <w:p w14:paraId="119BACCD" w14:textId="76004A22" w:rsidR="00777702" w:rsidRPr="003F0DAE" w:rsidRDefault="00856EDC" w:rsidP="00E67595">
      <w:pPr>
        <w:pStyle w:val="a3"/>
        <w:numPr>
          <w:ilvl w:val="0"/>
          <w:numId w:val="4"/>
        </w:numPr>
        <w:ind w:left="1134" w:hanging="283"/>
      </w:pPr>
      <w:r w:rsidRPr="004E7B57">
        <w:t>Δεν έχουν καταδικασθεί τα φυσικά πρόσωπα - οι νόμιμοι εκπρόσωποι των νομικών προσώπων και τα μέλη της διοίκησης των ανωτέρω νομικών προσώπων</w:t>
      </w:r>
      <w:r w:rsidR="00B63721" w:rsidRPr="004E7B57">
        <w:t xml:space="preserve"> </w:t>
      </w:r>
      <w:r w:rsidRPr="004E7B57">
        <w:t>με αμετάκλητη απόφαση ελληνικού ή</w:t>
      </w:r>
      <w:r w:rsidR="00B63721" w:rsidRPr="004E7B57">
        <w:t xml:space="preserve"> </w:t>
      </w:r>
      <w:r w:rsidRPr="004E7B57">
        <w:t xml:space="preserve">αλλοδαπού δικαστηρίου για αδικήματα, που επιφέρουν τον αποκλεισμό τους από τη συμμετοχή στην Ανταγωνιστική Διαδικασία, </w:t>
      </w:r>
      <w:r w:rsidR="00777702">
        <w:t>και ειδικότερα για</w:t>
      </w:r>
      <w:r w:rsidR="00777702" w:rsidRPr="003F0DAE">
        <w:t>:</w:t>
      </w:r>
    </w:p>
    <w:p w14:paraId="56E80BD1" w14:textId="45787298" w:rsidR="00777702" w:rsidRPr="00777702" w:rsidRDefault="00777702" w:rsidP="00E67595">
      <w:pPr>
        <w:pStyle w:val="a3"/>
        <w:numPr>
          <w:ilvl w:val="0"/>
          <w:numId w:val="3"/>
        </w:numPr>
        <w:ind w:left="1560"/>
      </w:pPr>
      <w:r w:rsidRPr="00777702">
        <w:t>Συμμετοχή σε εγκληματική οργάνωση, κατά το άρθρο 2 παράγραφος 1 της κοινής δράσης της 98/773/ΔΕΥ του Συμβουλίου της Ευρωπαϊκής Ένωσης.</w:t>
      </w:r>
    </w:p>
    <w:p w14:paraId="1F1A39D4" w14:textId="77777777" w:rsidR="00777702" w:rsidRPr="00777702" w:rsidRDefault="00777702" w:rsidP="00E67595">
      <w:pPr>
        <w:pStyle w:val="a3"/>
        <w:numPr>
          <w:ilvl w:val="0"/>
          <w:numId w:val="3"/>
        </w:numPr>
        <w:ind w:left="1560"/>
      </w:pPr>
      <w:r w:rsidRPr="00777702">
        <w:t>Δωροδοκία, κατά το άρθρο 3 της πράξης του Συμβουλίου της 26</w:t>
      </w:r>
      <w:r w:rsidRPr="00777702">
        <w:rPr>
          <w:vertAlign w:val="superscript"/>
        </w:rPr>
        <w:t>ης</w:t>
      </w:r>
      <w:r w:rsidRPr="00777702">
        <w:t xml:space="preserve"> Μαΐου 1997(21) και στο άρθρο 3 παράγραφος 1 της κοινής δράσης 98/742/ΚΕΠΠΑ του Συμβουλίου.</w:t>
      </w:r>
    </w:p>
    <w:p w14:paraId="4C2938E1" w14:textId="77777777" w:rsidR="00777702" w:rsidRPr="00777702" w:rsidRDefault="00777702" w:rsidP="00E67595">
      <w:pPr>
        <w:pStyle w:val="a3"/>
        <w:numPr>
          <w:ilvl w:val="0"/>
          <w:numId w:val="3"/>
        </w:numPr>
        <w:ind w:left="1560"/>
      </w:pPr>
      <w:r w:rsidRPr="00777702">
        <w:t>Απάτη κατά την έννοια του άρθρου 1 της σύμβασης για την προστασία των οικονομικών συμφερόντων των Ευρωπαϊκών Κοινοτήτων.</w:t>
      </w:r>
    </w:p>
    <w:p w14:paraId="6477F8C9" w14:textId="77777777" w:rsidR="00777702" w:rsidRPr="00777702" w:rsidRDefault="00777702" w:rsidP="00E67595">
      <w:pPr>
        <w:pStyle w:val="a3"/>
        <w:numPr>
          <w:ilvl w:val="0"/>
          <w:numId w:val="3"/>
        </w:numPr>
        <w:ind w:left="1560"/>
      </w:pPr>
      <w:r w:rsidRPr="00777702">
        <w:t>Νομιμοποίηση εσόδων από παράνομες δραστηριότητες, κατά το άρθρο 1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w:t>
      </w:r>
    </w:p>
    <w:p w14:paraId="69902A2F" w14:textId="77777777" w:rsidR="00777702" w:rsidRPr="00777702" w:rsidRDefault="00777702" w:rsidP="00E67595">
      <w:pPr>
        <w:pStyle w:val="a3"/>
        <w:numPr>
          <w:ilvl w:val="0"/>
          <w:numId w:val="3"/>
        </w:numPr>
        <w:ind w:left="1560"/>
      </w:pPr>
      <w:r w:rsidRPr="00777702">
        <w:t>Κάποιο από τα αδικήματα της υπεξαίρεσης, απάτης, εκβίασης, πλαστογραφίας, ψευδορκίας, δωροδοκίας και δόλιας χρεοκοπίας.</w:t>
      </w:r>
    </w:p>
    <w:p w14:paraId="5AAF2DE1" w14:textId="77777777" w:rsidR="00777702" w:rsidRPr="00777702" w:rsidRDefault="00777702" w:rsidP="00E67595">
      <w:pPr>
        <w:pStyle w:val="a3"/>
        <w:numPr>
          <w:ilvl w:val="0"/>
          <w:numId w:val="3"/>
        </w:numPr>
        <w:ind w:left="1560"/>
      </w:pPr>
      <w:r w:rsidRPr="00777702">
        <w:t>Για αδίκημα που αφορά την επαγγελματική του διαγωγή σύμφωνα με την νομοθεσία του κράτους εγκατάστασης.</w:t>
      </w:r>
    </w:p>
    <w:p w14:paraId="0EF6B023" w14:textId="309D084E" w:rsidR="000546D5" w:rsidRPr="004E7B57" w:rsidRDefault="00856EDC" w:rsidP="00E67595">
      <w:pPr>
        <w:pStyle w:val="a3"/>
        <w:numPr>
          <w:ilvl w:val="0"/>
          <w:numId w:val="4"/>
        </w:numPr>
        <w:ind w:left="993" w:hanging="284"/>
      </w:pPr>
      <w:r w:rsidRPr="004E7B57">
        <w:t xml:space="preserve">Δεν τελούν υπό πτώχευση, εκκαθάριση, παύση δραστηριοτήτων, αναγκαστική διαχείριση ή πτωχευτικό συμβιβασμό ή διαδικασία εξυγίανσης </w:t>
      </w:r>
      <w:proofErr w:type="spellStart"/>
      <w:r w:rsidRPr="004E7B57">
        <w:t>αρ</w:t>
      </w:r>
      <w:proofErr w:type="spellEnd"/>
      <w:r w:rsidRPr="004E7B57">
        <w:t xml:space="preserve">. 99 ν. 3588/2007 (Α’ 153) ή των </w:t>
      </w:r>
      <w:proofErr w:type="spellStart"/>
      <w:r w:rsidRPr="004E7B57">
        <w:t>αρ</w:t>
      </w:r>
      <w:proofErr w:type="spellEnd"/>
      <w:r w:rsidRPr="004E7B57">
        <w:t xml:space="preserve">. 31επ. του ν. 4738/2020 </w:t>
      </w:r>
      <w:r w:rsidRPr="004E7B57">
        <w:lastRenderedPageBreak/>
        <w:t>(Α’ 207) ή οποιαδήποτε άλλη κατάσταση, που προκύπτει από παρόμοια διαδικασία προβλεπόμενη από τις κατά περίπτωση εφαρμοζόμενες εθνικές, νομοθετικές και κανονιστικές διατάξεις και δεν έχει κινηθεί εναντίον τους ή εναντίον του νομικού προσώπου που εκπροσωπούν διαδικασία κήρυξης σε πτώχευση, εκκαθάρισης, αναγκαστικής διαχείρισης, πτωχευτικού συμβιβασμού ή οποιαδήποτε άλλη κατάσταση, που προκύπτει από παρόμοια διαδικασία προβλεπόμενη από τις κατά περίπτωση εφαρμοζόμενες εθνικές νομοθετικές και κανονιστικές διατάξεις.</w:t>
      </w:r>
    </w:p>
    <w:p w14:paraId="28CFEACF" w14:textId="135454BB" w:rsidR="000546D5" w:rsidRPr="004E7B57" w:rsidRDefault="00856EDC" w:rsidP="00E67595">
      <w:pPr>
        <w:pStyle w:val="a3"/>
        <w:numPr>
          <w:ilvl w:val="0"/>
          <w:numId w:val="4"/>
        </w:numPr>
        <w:ind w:left="993" w:hanging="426"/>
      </w:pPr>
      <w:r w:rsidRPr="004E7B57">
        <w:t>Σε περίπτωση νομικού προσώπου, ότι δεν βρίσκεται σε κατάσταση λύσης, παύσης, ανάκλησης ή αναστολής της δραστηριότητάς του, τελεί υπό εκκαθάριση του ν. 4548/2018 (Α’ 104), όπως εκάστοτε ισχύει, ή ειδική εκκαθάριση του ν. 1892/1990 (A’ 101), όπως εκάστοτε ισχύει, ή άλλες ανάλογες καταστάσεις και δεν τελεί υπό διαδικασία έκδοσης απόφασης κοινής ή ειδικής εκκαθάρισης των ανωτέρω νομοθετημάτων ή υπό άλλες ανάλογες καταστάσεις.</w:t>
      </w:r>
    </w:p>
    <w:p w14:paraId="4B6FD49A" w14:textId="25434CD9" w:rsidR="000546D5" w:rsidRPr="004E7B57" w:rsidRDefault="00856EDC" w:rsidP="00E67595">
      <w:pPr>
        <w:pStyle w:val="a3"/>
        <w:numPr>
          <w:ilvl w:val="0"/>
          <w:numId w:val="4"/>
        </w:numPr>
        <w:ind w:left="993" w:hanging="426"/>
      </w:pPr>
      <w:r w:rsidRPr="004E7B57">
        <w:t>Δεν έχουν διαπράξει σοβαρό επαγγελματικό παράπτωμα, που να έχει διαπιστωθεί και τιμωρηθεί πειθαρχικά με οποιονδήποτε τρόπο.</w:t>
      </w:r>
    </w:p>
    <w:p w14:paraId="1C3BE3C6" w14:textId="53C33221" w:rsidR="000546D5" w:rsidRPr="004E7B57" w:rsidRDefault="00856EDC" w:rsidP="009807AC">
      <w:pPr>
        <w:pStyle w:val="a3"/>
        <w:ind w:left="993"/>
      </w:pPr>
      <w:r w:rsidRPr="004E7B57">
        <w:t xml:space="preserve">Εφόσον έχουν διαπραχθεί αδικήματα της </w:t>
      </w:r>
      <w:r w:rsidRPr="009807AC">
        <w:t>περίπτωσης (</w:t>
      </w:r>
      <w:r w:rsidR="00A312D5" w:rsidRPr="009807AC">
        <w:rPr>
          <w:lang w:val="en-US"/>
        </w:rPr>
        <w:t>vii</w:t>
      </w:r>
      <w:r w:rsidRPr="009807AC">
        <w:t xml:space="preserve">) της παραγράφου </w:t>
      </w:r>
      <w:r w:rsidR="007369A7" w:rsidRPr="009807AC">
        <w:t>11.2.1.</w:t>
      </w:r>
      <w:r w:rsidRPr="004E7B57">
        <w:t xml:space="preserve"> της παρούσας Προκήρυξης, στο πρόσωπο του Συμμετέχοντος ή των ανωτέρω προσώπων, αυτός οφείλει να τα αναφέρει αναλυτικά στην Αίτηση Συμμετοχής και να συνυποβάλει την καταδικαστική απόφαση, προκειμένου να κριθεί από τη</w:t>
      </w:r>
      <w:r w:rsidR="003F6B7D" w:rsidRPr="004E7B57">
        <w:t xml:space="preserve"> </w:t>
      </w:r>
      <w:r w:rsidR="00CF21E9" w:rsidRPr="004E7B57">
        <w:t>Ρ.Α.Α.Ε.Υ.</w:t>
      </w:r>
      <w:r w:rsidRPr="004E7B57">
        <w:t xml:space="preserve"> αν επιφέρουν αποκλεισμό.</w:t>
      </w:r>
    </w:p>
    <w:p w14:paraId="70DCFDA2" w14:textId="36E0BADB" w:rsidR="00777702" w:rsidRPr="00777702" w:rsidRDefault="00777702" w:rsidP="00E67595">
      <w:pPr>
        <w:pStyle w:val="a3"/>
        <w:numPr>
          <w:ilvl w:val="0"/>
          <w:numId w:val="4"/>
        </w:numPr>
        <w:ind w:left="993" w:hanging="426"/>
      </w:pPr>
      <w:bookmarkStart w:id="10" w:name="_Hlk135166353"/>
      <w:r w:rsidRPr="00777702">
        <w:t xml:space="preserve">Σε περίπτωση νομικού προσώπου, </w:t>
      </w:r>
      <w:r w:rsidRPr="00BF52F2">
        <w:t xml:space="preserve">ότι </w:t>
      </w:r>
      <w:r w:rsidR="00BF52F2" w:rsidRPr="00BF52F2">
        <w:t>το νομικό πρόσωπο</w:t>
      </w:r>
      <w:r w:rsidR="00BF52F2">
        <w:rPr>
          <w:b/>
          <w:bCs/>
        </w:rPr>
        <w:t xml:space="preserve"> </w:t>
      </w:r>
      <w:r w:rsidRPr="00777702">
        <w:rPr>
          <w:b/>
          <w:bCs/>
        </w:rPr>
        <w:t>δεν διατηρεί με άλλο Συμμετέχοντα</w:t>
      </w:r>
      <w:r w:rsidRPr="00777702">
        <w:t xml:space="preserve"> </w:t>
      </w:r>
      <w:r w:rsidRPr="00777702">
        <w:rPr>
          <w:b/>
          <w:bCs/>
        </w:rPr>
        <w:t>στην Ανταγωνιστική Διαδικασία</w:t>
      </w:r>
      <w:r w:rsidRPr="00777702">
        <w:t xml:space="preserve">, νομικό πρόσωπο, σχέση </w:t>
      </w:r>
      <w:r w:rsidR="00AC289F">
        <w:rPr>
          <w:b/>
          <w:bCs/>
          <w:u w:val="single"/>
        </w:rPr>
        <w:t>Σ</w:t>
      </w:r>
      <w:r w:rsidRPr="00777702">
        <w:rPr>
          <w:b/>
          <w:bCs/>
          <w:u w:val="single"/>
        </w:rPr>
        <w:t>υνδεδεμένων επιχειρήσεων</w:t>
      </w:r>
      <w:r w:rsidRPr="00777702">
        <w:t xml:space="preserve"> κατά τα οριζόμενα στην παρ. 3 </w:t>
      </w:r>
      <w:r w:rsidR="00A263DF">
        <w:t xml:space="preserve">του άρθρου 3 </w:t>
      </w:r>
      <w:r w:rsidRPr="00777702">
        <w:t>της Σύστασης 2003/361/ΕΚ της Επιτροπής, όπως δημοσιεύτηκε στην Επίσημη Εφημερίδα της Ευρωπαϊκής Ένωσης (L 124 της 20ής Μαΐου 2003, σ. 36.), και ειδικότερα, ότι δεν διατηρεί µ</w:t>
      </w:r>
      <w:proofErr w:type="spellStart"/>
      <w:r w:rsidRPr="00777702">
        <w:t>ια</w:t>
      </w:r>
      <w:proofErr w:type="spellEnd"/>
      <w:r w:rsidRPr="00777702">
        <w:t xml:space="preserve"> από τις ακόλουθες σχέσεις:</w:t>
      </w:r>
    </w:p>
    <w:p w14:paraId="5F914427" w14:textId="77777777" w:rsidR="00F87AC4" w:rsidRDefault="00777702" w:rsidP="00F87AC4">
      <w:pPr>
        <w:pStyle w:val="a3"/>
        <w:numPr>
          <w:ilvl w:val="0"/>
          <w:numId w:val="43"/>
        </w:numPr>
        <w:ind w:left="1701" w:hanging="425"/>
      </w:pPr>
      <w:r w:rsidRPr="00777702">
        <w:t xml:space="preserve">κατέχει την πλειοψηφία των </w:t>
      </w:r>
      <w:proofErr w:type="spellStart"/>
      <w:r w:rsidRPr="00777702">
        <w:t>δικαιωµάτων</w:t>
      </w:r>
      <w:proofErr w:type="spellEnd"/>
      <w:r w:rsidRPr="00777702">
        <w:t xml:space="preserve"> ψήφου των µ</w:t>
      </w:r>
      <w:proofErr w:type="spellStart"/>
      <w:r w:rsidRPr="00777702">
        <w:t>ετόχων</w:t>
      </w:r>
      <w:proofErr w:type="spellEnd"/>
      <w:r w:rsidRPr="00777702">
        <w:t xml:space="preserve"> ή των εταίρων του·</w:t>
      </w:r>
    </w:p>
    <w:p w14:paraId="3FE62C48" w14:textId="77777777" w:rsidR="00F87AC4" w:rsidRDefault="00777702" w:rsidP="00F87AC4">
      <w:pPr>
        <w:pStyle w:val="a3"/>
        <w:numPr>
          <w:ilvl w:val="0"/>
          <w:numId w:val="43"/>
        </w:numPr>
        <w:ind w:left="1701" w:hanging="425"/>
      </w:pPr>
      <w:r w:rsidRPr="00777702">
        <w:t xml:space="preserve">έχει το </w:t>
      </w:r>
      <w:proofErr w:type="spellStart"/>
      <w:r w:rsidRPr="00777702">
        <w:t>δικαίωµα</w:t>
      </w:r>
      <w:proofErr w:type="spellEnd"/>
      <w:r w:rsidRPr="00777702">
        <w:t xml:space="preserve"> να διορίζει ή να παύει την πλειοψηφία των µελών του διοικητικού, διαχειριστικού ή εποπτικού οργάνου του·</w:t>
      </w:r>
    </w:p>
    <w:p w14:paraId="53095190" w14:textId="77777777" w:rsidR="00F87AC4" w:rsidRDefault="00777702" w:rsidP="00F87AC4">
      <w:pPr>
        <w:pStyle w:val="a3"/>
        <w:numPr>
          <w:ilvl w:val="0"/>
          <w:numId w:val="43"/>
        </w:numPr>
        <w:ind w:left="1701" w:hanging="425"/>
      </w:pPr>
      <w:r w:rsidRPr="00777702">
        <w:t xml:space="preserve">έχει το </w:t>
      </w:r>
      <w:proofErr w:type="spellStart"/>
      <w:r w:rsidRPr="00777702">
        <w:t>δικαίωµα</w:t>
      </w:r>
      <w:proofErr w:type="spellEnd"/>
      <w:r w:rsidRPr="00777702">
        <w:t xml:space="preserve"> να ασκήσει κυριαρχική επιρροή βάσει </w:t>
      </w:r>
      <w:proofErr w:type="spellStart"/>
      <w:r w:rsidRPr="00777702">
        <w:t>σύµβασης</w:t>
      </w:r>
      <w:proofErr w:type="spellEnd"/>
      <w:r w:rsidRPr="00777702">
        <w:t xml:space="preserve"> που έχει συνάψει µε αυτό ή </w:t>
      </w:r>
      <w:proofErr w:type="spellStart"/>
      <w:r w:rsidRPr="00777702">
        <w:t>δυνάµει</w:t>
      </w:r>
      <w:proofErr w:type="spellEnd"/>
      <w:r w:rsidRPr="00777702">
        <w:t xml:space="preserve"> ρήτρας του καταστατικού του τελευταίου·</w:t>
      </w:r>
    </w:p>
    <w:p w14:paraId="4E886860" w14:textId="38ECE107" w:rsidR="00777702" w:rsidRPr="00777702" w:rsidRDefault="00777702" w:rsidP="00F87AC4">
      <w:pPr>
        <w:pStyle w:val="a3"/>
        <w:numPr>
          <w:ilvl w:val="0"/>
          <w:numId w:val="43"/>
        </w:numPr>
        <w:ind w:left="1701" w:hanging="425"/>
      </w:pPr>
      <w:r w:rsidRPr="00777702">
        <w:t>είναι µ</w:t>
      </w:r>
      <w:proofErr w:type="spellStart"/>
      <w:r w:rsidRPr="00777702">
        <w:t>έτοχος</w:t>
      </w:r>
      <w:proofErr w:type="spellEnd"/>
      <w:r w:rsidRPr="00777702">
        <w:t xml:space="preserve"> ή εταίρος του και ελέγχει µόνο </w:t>
      </w:r>
      <w:r w:rsidR="00A263DF">
        <w:t>του</w:t>
      </w:r>
      <w:r w:rsidRPr="00777702">
        <w:t xml:space="preserve">, βάσει </w:t>
      </w:r>
      <w:proofErr w:type="spellStart"/>
      <w:r w:rsidRPr="00777702">
        <w:t>συµφωνίας</w:t>
      </w:r>
      <w:proofErr w:type="spellEnd"/>
      <w:r w:rsidRPr="00777702">
        <w:t xml:space="preserve"> που έχει συνάψει µε άλλους µ</w:t>
      </w:r>
      <w:proofErr w:type="spellStart"/>
      <w:r w:rsidRPr="00777702">
        <w:t>ετόχους</w:t>
      </w:r>
      <w:proofErr w:type="spellEnd"/>
      <w:r w:rsidRPr="00777702">
        <w:t xml:space="preserve"> ή εταίρους του εν λόγω νομικού προσώπου, την πλειοψηφία των </w:t>
      </w:r>
      <w:proofErr w:type="spellStart"/>
      <w:r w:rsidRPr="00777702">
        <w:t>δικαιωµάτων</w:t>
      </w:r>
      <w:proofErr w:type="spellEnd"/>
      <w:r w:rsidRPr="00777702">
        <w:t xml:space="preserve"> ψήφου των µ</w:t>
      </w:r>
      <w:proofErr w:type="spellStart"/>
      <w:r w:rsidRPr="00777702">
        <w:t>ετόχων</w:t>
      </w:r>
      <w:proofErr w:type="spellEnd"/>
      <w:r w:rsidRPr="00777702">
        <w:t xml:space="preserve"> ή των εταίρων αυτού.</w:t>
      </w:r>
    </w:p>
    <w:p w14:paraId="6C2126FA" w14:textId="77777777" w:rsidR="00777702" w:rsidRPr="00777702" w:rsidRDefault="00777702" w:rsidP="009807AC">
      <w:pPr>
        <w:pStyle w:val="a3"/>
        <w:ind w:left="993"/>
        <w:rPr>
          <w:b/>
          <w:bCs/>
          <w:u w:val="single"/>
        </w:rPr>
      </w:pPr>
      <w:r w:rsidRPr="00777702">
        <w:rPr>
          <w:b/>
          <w:bCs/>
          <w:u w:val="single"/>
        </w:rPr>
        <w:t>Άλλως:</w:t>
      </w:r>
    </w:p>
    <w:p w14:paraId="25082264" w14:textId="7B77770F" w:rsidR="00777702" w:rsidRPr="00780BE1" w:rsidRDefault="00A312D5" w:rsidP="009807AC">
      <w:pPr>
        <w:pStyle w:val="a3"/>
        <w:ind w:left="993"/>
      </w:pPr>
      <w:r>
        <w:t>Δηλώνεται</w:t>
      </w:r>
      <w:r w:rsidR="00777702" w:rsidRPr="00777702">
        <w:t xml:space="preserve"> ρητώς ότι</w:t>
      </w:r>
      <w:r>
        <w:t xml:space="preserve"> το νομικό πρόσωπο</w:t>
      </w:r>
      <w:r w:rsidR="00780BE1" w:rsidRPr="003F0DAE">
        <w:t>:</w:t>
      </w:r>
    </w:p>
    <w:p w14:paraId="2A7776B3" w14:textId="77777777" w:rsidR="00F87AC4" w:rsidRDefault="00A312D5" w:rsidP="00F87AC4">
      <w:pPr>
        <w:pStyle w:val="a3"/>
        <w:numPr>
          <w:ilvl w:val="0"/>
          <w:numId w:val="44"/>
        </w:numPr>
        <w:ind w:left="1134" w:firstLine="0"/>
      </w:pPr>
      <w:r w:rsidRPr="004E7B57">
        <w:t>κατέχ</w:t>
      </w:r>
      <w:r>
        <w:t>ει</w:t>
      </w:r>
      <w:r w:rsidRPr="004E7B57">
        <w:t xml:space="preserve"> </w:t>
      </w:r>
      <w:r w:rsidR="004A10AA" w:rsidRPr="004E7B57">
        <w:t>την πλειοψηφία των δικαιωμάτων ψήφου των µ</w:t>
      </w:r>
      <w:proofErr w:type="spellStart"/>
      <w:r w:rsidR="004A10AA" w:rsidRPr="004E7B57">
        <w:t>ετόχων</w:t>
      </w:r>
      <w:proofErr w:type="spellEnd"/>
      <w:r w:rsidR="004A10AA" w:rsidRPr="004E7B57">
        <w:t xml:space="preserve"> ή των εταίρων του Συμμετέχοντος/ των Συμμετεχόντων στην Ανταγωνιστική Διαδικασία, νομικού προσώπου / νομικών προσώπων, με την επωνυμία: i)……………, </w:t>
      </w:r>
      <w:proofErr w:type="spellStart"/>
      <w:r w:rsidR="004A10AA" w:rsidRPr="004E7B57">
        <w:t>ii</w:t>
      </w:r>
      <w:proofErr w:type="spellEnd"/>
      <w:r w:rsidR="004A10AA" w:rsidRPr="004E7B57">
        <w:t xml:space="preserve">)………………, </w:t>
      </w:r>
      <w:proofErr w:type="spellStart"/>
      <w:r w:rsidR="004A10AA" w:rsidRPr="004E7B57">
        <w:t>iii</w:t>
      </w:r>
      <w:proofErr w:type="spellEnd"/>
      <w:r w:rsidR="004A10AA" w:rsidRPr="004E7B57">
        <w:t xml:space="preserve">)……………….,κ.λπ. </w:t>
      </w:r>
    </w:p>
    <w:p w14:paraId="4D194324" w14:textId="77777777" w:rsidR="00F87AC4" w:rsidRDefault="00A312D5" w:rsidP="00F87AC4">
      <w:pPr>
        <w:pStyle w:val="a3"/>
        <w:numPr>
          <w:ilvl w:val="0"/>
          <w:numId w:val="44"/>
        </w:numPr>
        <w:ind w:left="1134" w:firstLine="0"/>
      </w:pPr>
      <w:r w:rsidRPr="004E7B57">
        <w:t>έχ</w:t>
      </w:r>
      <w:r>
        <w:t>ει</w:t>
      </w:r>
      <w:r w:rsidRPr="004E7B57">
        <w:t xml:space="preserve"> </w:t>
      </w:r>
      <w:r w:rsidR="004A10AA" w:rsidRPr="004E7B57">
        <w:t xml:space="preserve">το </w:t>
      </w:r>
      <w:proofErr w:type="spellStart"/>
      <w:r w:rsidR="004A10AA" w:rsidRPr="004E7B57">
        <w:t>δικαίωµα</w:t>
      </w:r>
      <w:proofErr w:type="spellEnd"/>
      <w:r w:rsidR="004A10AA" w:rsidRPr="004E7B57">
        <w:t xml:space="preserve"> να </w:t>
      </w:r>
      <w:r w:rsidRPr="004E7B57">
        <w:t>διορίζ</w:t>
      </w:r>
      <w:r>
        <w:t>ει</w:t>
      </w:r>
      <w:r w:rsidRPr="004E7B57">
        <w:t xml:space="preserve"> </w:t>
      </w:r>
      <w:r w:rsidR="004A10AA" w:rsidRPr="004E7B57">
        <w:t xml:space="preserve">ή να </w:t>
      </w:r>
      <w:r w:rsidRPr="004E7B57">
        <w:t>παύ</w:t>
      </w:r>
      <w:r>
        <w:t>ει</w:t>
      </w:r>
      <w:r w:rsidRPr="004E7B57">
        <w:t xml:space="preserve"> </w:t>
      </w:r>
      <w:r w:rsidR="004A10AA" w:rsidRPr="004E7B57">
        <w:t xml:space="preserve">την πλειοψηφία των µελών του διοικητικού, διαχειριστικού ή εποπτικού οργάνου του Συμμετέχοντος/ των Συμμετεχόντων στην Ανταγωνιστική Διαδικασία, νομικού προσώπου / νομικών προσώπων, με την επωνυμία: i)……………, </w:t>
      </w:r>
      <w:proofErr w:type="spellStart"/>
      <w:r w:rsidR="004A10AA" w:rsidRPr="004E7B57">
        <w:t>ii</w:t>
      </w:r>
      <w:proofErr w:type="spellEnd"/>
      <w:r w:rsidR="004A10AA" w:rsidRPr="004E7B57">
        <w:t xml:space="preserve">)………………, </w:t>
      </w:r>
      <w:proofErr w:type="spellStart"/>
      <w:r w:rsidR="004A10AA" w:rsidRPr="004E7B57">
        <w:t>iii</w:t>
      </w:r>
      <w:proofErr w:type="spellEnd"/>
      <w:r w:rsidR="004A10AA" w:rsidRPr="004E7B57">
        <w:t>)……………….,κ.λπ.</w:t>
      </w:r>
    </w:p>
    <w:p w14:paraId="364C8CE4" w14:textId="77777777" w:rsidR="00F87AC4" w:rsidRDefault="00A312D5" w:rsidP="00F87AC4">
      <w:pPr>
        <w:pStyle w:val="a3"/>
        <w:numPr>
          <w:ilvl w:val="0"/>
          <w:numId w:val="44"/>
        </w:numPr>
        <w:ind w:left="1134" w:firstLine="0"/>
      </w:pPr>
      <w:r w:rsidRPr="004E7B57">
        <w:t>έχ</w:t>
      </w:r>
      <w:r>
        <w:t>ει</w:t>
      </w:r>
      <w:r w:rsidRPr="004E7B57">
        <w:t xml:space="preserve"> </w:t>
      </w:r>
      <w:r w:rsidR="004A10AA" w:rsidRPr="004E7B57">
        <w:t xml:space="preserve">το </w:t>
      </w:r>
      <w:proofErr w:type="spellStart"/>
      <w:r w:rsidR="004A10AA" w:rsidRPr="004E7B57">
        <w:t>δικαίωµα</w:t>
      </w:r>
      <w:proofErr w:type="spellEnd"/>
      <w:r w:rsidR="004A10AA" w:rsidRPr="004E7B57">
        <w:t xml:space="preserve"> να </w:t>
      </w:r>
      <w:r w:rsidRPr="004E7B57">
        <w:t>ασκήσ</w:t>
      </w:r>
      <w:r>
        <w:t>ει</w:t>
      </w:r>
      <w:r w:rsidRPr="004E7B57">
        <w:t xml:space="preserve"> </w:t>
      </w:r>
      <w:r w:rsidR="004A10AA" w:rsidRPr="004E7B57">
        <w:t xml:space="preserve">κυριαρχική επιρροή σε άλλο Συμμετέχοντα/ Συμμετέχοντες στην Ανταγωνιστική Διαδικασία, νομικό πρόσωπο / νομικά πρόσωπα, με την επωνυμία: i)……………, </w:t>
      </w:r>
      <w:proofErr w:type="spellStart"/>
      <w:r w:rsidR="004A10AA" w:rsidRPr="004E7B57">
        <w:t>ii</w:t>
      </w:r>
      <w:proofErr w:type="spellEnd"/>
      <w:r w:rsidR="004A10AA" w:rsidRPr="004E7B57">
        <w:t xml:space="preserve">)………………, </w:t>
      </w:r>
      <w:proofErr w:type="spellStart"/>
      <w:r w:rsidR="004A10AA" w:rsidRPr="004E7B57">
        <w:t>iii</w:t>
      </w:r>
      <w:proofErr w:type="spellEnd"/>
      <w:r w:rsidR="004A10AA" w:rsidRPr="004E7B57">
        <w:t xml:space="preserve">)……………….,κ.λπ. βάσει </w:t>
      </w:r>
      <w:proofErr w:type="spellStart"/>
      <w:r w:rsidR="004A10AA" w:rsidRPr="004E7B57">
        <w:t>σύµβασης</w:t>
      </w:r>
      <w:proofErr w:type="spellEnd"/>
      <w:r w:rsidR="004A10AA" w:rsidRPr="004E7B57">
        <w:t xml:space="preserve"> που έχουν συνάψει µε αυτό ή </w:t>
      </w:r>
      <w:proofErr w:type="spellStart"/>
      <w:r w:rsidR="004A10AA" w:rsidRPr="004E7B57">
        <w:t>δυνάµει</w:t>
      </w:r>
      <w:proofErr w:type="spellEnd"/>
      <w:r w:rsidR="004A10AA" w:rsidRPr="004E7B57">
        <w:t xml:space="preserve"> ρήτρας του καταστατικού του τελευταίου.</w:t>
      </w:r>
    </w:p>
    <w:p w14:paraId="2B9A41E2" w14:textId="77777777" w:rsidR="00F87AC4" w:rsidRDefault="004A10AA" w:rsidP="00F87AC4">
      <w:pPr>
        <w:pStyle w:val="a3"/>
        <w:numPr>
          <w:ilvl w:val="0"/>
          <w:numId w:val="44"/>
        </w:numPr>
        <w:ind w:left="1134" w:firstLine="0"/>
      </w:pPr>
      <w:r w:rsidRPr="004E7B57">
        <w:t xml:space="preserve">είναι </w:t>
      </w:r>
      <w:r w:rsidR="00A312D5" w:rsidRPr="004E7B57">
        <w:t>µ</w:t>
      </w:r>
      <w:proofErr w:type="spellStart"/>
      <w:r w:rsidR="00A312D5" w:rsidRPr="004E7B57">
        <w:t>έτοχο</w:t>
      </w:r>
      <w:r w:rsidR="00A312D5">
        <w:t>ς</w:t>
      </w:r>
      <w:proofErr w:type="spellEnd"/>
      <w:r w:rsidR="00A312D5" w:rsidRPr="004E7B57">
        <w:t xml:space="preserve"> </w:t>
      </w:r>
      <w:r w:rsidRPr="004E7B57">
        <w:t xml:space="preserve">ή </w:t>
      </w:r>
      <w:r w:rsidR="00A312D5" w:rsidRPr="004E7B57">
        <w:t>εταίρο</w:t>
      </w:r>
      <w:r w:rsidR="00A312D5">
        <w:t>ς</w:t>
      </w:r>
      <w:r w:rsidR="00A312D5" w:rsidRPr="004E7B57">
        <w:t xml:space="preserve"> </w:t>
      </w:r>
      <w:r w:rsidRPr="004E7B57">
        <w:t xml:space="preserve">του Συμμετέχοντος/ των Συμμετεχόντων στην Ανταγωνιστική Διαδικασία, νομικού προσώπου / νομικών προσώπων, με την επωνυμία: i)……………, </w:t>
      </w:r>
      <w:proofErr w:type="spellStart"/>
      <w:r w:rsidRPr="004E7B57">
        <w:t>ii</w:t>
      </w:r>
      <w:proofErr w:type="spellEnd"/>
      <w:r w:rsidRPr="004E7B57">
        <w:t xml:space="preserve">)………………, </w:t>
      </w:r>
      <w:proofErr w:type="spellStart"/>
      <w:r w:rsidRPr="004E7B57">
        <w:t>iii</w:t>
      </w:r>
      <w:proofErr w:type="spellEnd"/>
      <w:r w:rsidRPr="004E7B57">
        <w:t xml:space="preserve">)……………….,κ.λπ. και </w:t>
      </w:r>
      <w:r w:rsidR="00A312D5" w:rsidRPr="004E7B57">
        <w:t>ελέγχ</w:t>
      </w:r>
      <w:r w:rsidR="00A312D5">
        <w:t>ει</w:t>
      </w:r>
      <w:r w:rsidR="00A312D5" w:rsidRPr="004E7B57">
        <w:t xml:space="preserve"> </w:t>
      </w:r>
      <w:r w:rsidRPr="004E7B57">
        <w:t xml:space="preserve">µόνο του, βάσει </w:t>
      </w:r>
      <w:proofErr w:type="spellStart"/>
      <w:r w:rsidRPr="004E7B57">
        <w:t>συµφωνίας</w:t>
      </w:r>
      <w:proofErr w:type="spellEnd"/>
      <w:r w:rsidRPr="004E7B57">
        <w:t xml:space="preserve"> που </w:t>
      </w:r>
      <w:r w:rsidR="00A312D5" w:rsidRPr="004E7B57">
        <w:t>έχ</w:t>
      </w:r>
      <w:r w:rsidR="00A312D5">
        <w:t>ει</w:t>
      </w:r>
      <w:r w:rsidR="00A312D5" w:rsidRPr="004E7B57">
        <w:t xml:space="preserve"> </w:t>
      </w:r>
      <w:r w:rsidRPr="004E7B57">
        <w:t>συνάψει µε άλλους µ</w:t>
      </w:r>
      <w:proofErr w:type="spellStart"/>
      <w:r w:rsidRPr="004E7B57">
        <w:t>ετόχους</w:t>
      </w:r>
      <w:proofErr w:type="spellEnd"/>
      <w:r w:rsidRPr="004E7B57">
        <w:t xml:space="preserve"> ή </w:t>
      </w:r>
      <w:r w:rsidRPr="004E7B57">
        <w:lastRenderedPageBreak/>
        <w:t xml:space="preserve">εταίρους του εν λόγω νομικού προσώπου, την πλειοψηφία των </w:t>
      </w:r>
      <w:proofErr w:type="spellStart"/>
      <w:r w:rsidRPr="004E7B57">
        <w:t>δικαιωµάτων</w:t>
      </w:r>
      <w:proofErr w:type="spellEnd"/>
      <w:r w:rsidRPr="004E7B57">
        <w:t xml:space="preserve"> ψήφου των µ</w:t>
      </w:r>
      <w:proofErr w:type="spellStart"/>
      <w:r w:rsidRPr="004E7B57">
        <w:t>ετόχων</w:t>
      </w:r>
      <w:proofErr w:type="spellEnd"/>
      <w:r w:rsidRPr="004E7B57">
        <w:t xml:space="preserve"> ή των εταίρων αυτού.</w:t>
      </w:r>
    </w:p>
    <w:p w14:paraId="36F17CF0" w14:textId="5D60FA48" w:rsidR="004A10AA" w:rsidRDefault="00A312D5" w:rsidP="00F87AC4">
      <w:pPr>
        <w:pStyle w:val="a3"/>
        <w:numPr>
          <w:ilvl w:val="0"/>
          <w:numId w:val="44"/>
        </w:numPr>
        <w:ind w:left="1134" w:firstLine="0"/>
      </w:pPr>
      <w:r w:rsidRPr="004E7B57">
        <w:t>διατηρ</w:t>
      </w:r>
      <w:r>
        <w:t>εί</w:t>
      </w:r>
      <w:r w:rsidRPr="004E7B57">
        <w:t xml:space="preserve"> </w:t>
      </w:r>
      <w:r w:rsidR="004A10AA" w:rsidRPr="004E7B57">
        <w:t>µ</w:t>
      </w:r>
      <w:proofErr w:type="spellStart"/>
      <w:r w:rsidR="004A10AA" w:rsidRPr="004E7B57">
        <w:t>ια</w:t>
      </w:r>
      <w:proofErr w:type="spellEnd"/>
      <w:r w:rsidR="004A10AA" w:rsidRPr="004E7B57">
        <w:t xml:space="preserve"> από τις υπό α) έως δ) σχέσεις με τον Συμμετέχοντα / τους Συμμετέχοντες με την επωνυμία : i)………….., </w:t>
      </w:r>
      <w:proofErr w:type="spellStart"/>
      <w:r w:rsidR="004A10AA" w:rsidRPr="004E7B57">
        <w:t>ii</w:t>
      </w:r>
      <w:proofErr w:type="spellEnd"/>
      <w:r w:rsidR="004A10AA" w:rsidRPr="004E7B57">
        <w:t xml:space="preserve">)………………, </w:t>
      </w:r>
      <w:proofErr w:type="spellStart"/>
      <w:r w:rsidR="004A10AA" w:rsidRPr="004E7B57">
        <w:t>ii</w:t>
      </w:r>
      <w:proofErr w:type="spellEnd"/>
      <w:r w:rsidR="004A10AA" w:rsidRPr="004E7B57">
        <w:t xml:space="preserve">) ………………….., κ.λπ., µέσω ενός φυσικού προσώπου ή </w:t>
      </w:r>
      <w:proofErr w:type="spellStart"/>
      <w:r w:rsidR="004A10AA" w:rsidRPr="004E7B57">
        <w:t>οµάδας</w:t>
      </w:r>
      <w:proofErr w:type="spellEnd"/>
      <w:r w:rsidR="004A10AA" w:rsidRPr="004E7B57">
        <w:t xml:space="preserve"> φυσικών προσώπων που ενεργούν από κοινού.</w:t>
      </w:r>
    </w:p>
    <w:p w14:paraId="3A9BDA22" w14:textId="6DB99192" w:rsidR="00A312D5" w:rsidRPr="00A312D5" w:rsidRDefault="00A312D5" w:rsidP="00E67595">
      <w:pPr>
        <w:pStyle w:val="a3"/>
        <w:numPr>
          <w:ilvl w:val="0"/>
          <w:numId w:val="4"/>
        </w:numPr>
        <w:ind w:left="993" w:hanging="426"/>
      </w:pPr>
      <w:r w:rsidRPr="00A312D5">
        <w:t xml:space="preserve">Σε περίπτωση νομικού προσώπου, </w:t>
      </w:r>
      <w:r w:rsidRPr="00F87AC4">
        <w:t xml:space="preserve">ότι </w:t>
      </w:r>
      <w:r w:rsidR="00F87AC4" w:rsidRPr="00F87AC4">
        <w:t>το νομικό πρόσωπο</w:t>
      </w:r>
      <w:r w:rsidR="00F87AC4">
        <w:rPr>
          <w:b/>
          <w:bCs/>
        </w:rPr>
        <w:t xml:space="preserve"> </w:t>
      </w:r>
      <w:r w:rsidRPr="00A312D5">
        <w:rPr>
          <w:b/>
          <w:bCs/>
        </w:rPr>
        <w:t xml:space="preserve">δεν διατηρεί με άλλο Συμμετέχοντα, </w:t>
      </w:r>
      <w:r w:rsidRPr="00A312D5">
        <w:t xml:space="preserve">νομικό πρόσωπο, σχέση </w:t>
      </w:r>
      <w:r w:rsidRPr="00A312D5">
        <w:rPr>
          <w:b/>
          <w:bCs/>
          <w:u w:val="single"/>
        </w:rPr>
        <w:t>συνεργαζόμενων επιχειρήσεων</w:t>
      </w:r>
      <w:r w:rsidRPr="00A312D5">
        <w:t xml:space="preserve"> κατά τα οριζόμενα στην παρ. 2 </w:t>
      </w:r>
      <w:r w:rsidR="00F87AC4">
        <w:t xml:space="preserve">του άρθρου 3 </w:t>
      </w:r>
      <w:r w:rsidRPr="00A312D5">
        <w:t xml:space="preserve">της Σύστασης 2003/361/ΕΚ της Επιτροπής, όπως δημοσιεύτηκε στην Επίσημη Εφημερίδα της Ευρωπαϊκής Ένωσης (L 124 της 20ής Μαΐου 2003, σ. 36.), και ειδικότερα ότι δεν κατέχει, το ίδιο ή από κοινού µε µία ή περισσότερες </w:t>
      </w:r>
      <w:proofErr w:type="spellStart"/>
      <w:r w:rsidRPr="00A312D5">
        <w:t>συνδεδεµένες</w:t>
      </w:r>
      <w:proofErr w:type="spellEnd"/>
      <w:r w:rsidRPr="00A312D5">
        <w:t xml:space="preserve"> επιχειρήσεις κατά τα ανωτέρω, το 25 % ή περισσότερο του κεφαλαίου ή των </w:t>
      </w:r>
      <w:proofErr w:type="spellStart"/>
      <w:r w:rsidRPr="00A312D5">
        <w:t>δικαιωµάτων</w:t>
      </w:r>
      <w:proofErr w:type="spellEnd"/>
      <w:r w:rsidRPr="00A312D5">
        <w:t xml:space="preserve"> ψήφου του εν λόγω νομικού προσώπου.</w:t>
      </w:r>
    </w:p>
    <w:p w14:paraId="080C2D1C" w14:textId="5EE211E4" w:rsidR="00A312D5" w:rsidRPr="00A312D5" w:rsidRDefault="00A312D5" w:rsidP="009807AC">
      <w:pPr>
        <w:pStyle w:val="a3"/>
        <w:ind w:left="993"/>
        <w:rPr>
          <w:b/>
          <w:bCs/>
          <w:u w:val="single"/>
        </w:rPr>
      </w:pPr>
      <w:r w:rsidRPr="00A312D5">
        <w:rPr>
          <w:b/>
          <w:bCs/>
          <w:u w:val="single"/>
        </w:rPr>
        <w:t>Άλλως:</w:t>
      </w:r>
    </w:p>
    <w:p w14:paraId="0A73D5E2" w14:textId="77777777" w:rsidR="00A312D5" w:rsidRDefault="00A312D5" w:rsidP="009807AC">
      <w:pPr>
        <w:pStyle w:val="a3"/>
        <w:ind w:left="993"/>
      </w:pPr>
      <w:r>
        <w:t>Δηλώνεται</w:t>
      </w:r>
      <w:r w:rsidRPr="00777702">
        <w:t xml:space="preserve"> ρητώς ότι</w:t>
      </w:r>
      <w:r>
        <w:t xml:space="preserve"> το νομικό πρόσωπο</w:t>
      </w:r>
      <w:r w:rsidRPr="00777702">
        <w:t>,</w:t>
      </w:r>
    </w:p>
    <w:p w14:paraId="58A722EA" w14:textId="027C0687" w:rsidR="004A10AA" w:rsidRPr="004E7B57" w:rsidRDefault="004A10AA" w:rsidP="009807AC">
      <w:pPr>
        <w:pStyle w:val="a3"/>
        <w:ind w:left="993"/>
      </w:pPr>
      <w:r w:rsidRPr="004E7B57">
        <w:t>(</w:t>
      </w:r>
      <w:r w:rsidR="00A312D5" w:rsidRPr="004E7B57">
        <w:t>διατηρ</w:t>
      </w:r>
      <w:r w:rsidR="00A312D5">
        <w:t>εί</w:t>
      </w:r>
      <w:r w:rsidR="00A312D5" w:rsidRPr="004E7B57">
        <w:t xml:space="preserve"> </w:t>
      </w:r>
      <w:r w:rsidRPr="004E7B57">
        <w:t xml:space="preserve">με τον Συμμετέχοντα/ τους Συμμετέχοντες στην Ανταγωνιστική Διαδικασία, νομικό πρόσωπο / νομικά πρόσωπα, με την επωνυμία: i)……………, </w:t>
      </w:r>
      <w:proofErr w:type="spellStart"/>
      <w:r w:rsidRPr="004E7B57">
        <w:t>ii</w:t>
      </w:r>
      <w:proofErr w:type="spellEnd"/>
      <w:r w:rsidRPr="004E7B57">
        <w:t xml:space="preserve">)………………, </w:t>
      </w:r>
      <w:proofErr w:type="spellStart"/>
      <w:r w:rsidRPr="004E7B57">
        <w:t>iii</w:t>
      </w:r>
      <w:proofErr w:type="spellEnd"/>
      <w:r w:rsidRPr="004E7B57">
        <w:t xml:space="preserve">)……………….,κ.λπ. σχέση συνεργαζόμενων επιχειρήσεων κατά τα οριζόμενα στην παρ. 2 </w:t>
      </w:r>
      <w:r w:rsidR="00F87AC4">
        <w:t xml:space="preserve">του άρθρου 3 </w:t>
      </w:r>
      <w:r w:rsidRPr="004E7B57">
        <w:t>της Σύστασης 2003/361/ΕΚ της Επιτροπής, όπως δημοσιεύτηκε στην Επίσημη Εφημερίδα της Ευρωπαϊκής Ένωσης (L 124 της 20ής Μαΐου 2003, σ. 36.), και ιδίως ότι κατέχ</w:t>
      </w:r>
      <w:r w:rsidR="00F87AC4">
        <w:t>ει</w:t>
      </w:r>
      <w:r w:rsidRPr="004E7B57">
        <w:t xml:space="preserve">, </w:t>
      </w:r>
      <w:r w:rsidR="00F87AC4">
        <w:t>το ίδιο</w:t>
      </w:r>
      <w:r w:rsidRPr="004E7B57">
        <w:t xml:space="preserve"> ή από κοινού µε µία ή περισσότερες </w:t>
      </w:r>
      <w:proofErr w:type="spellStart"/>
      <w:r w:rsidRPr="004E7B57">
        <w:t>συνδεδεµένες</w:t>
      </w:r>
      <w:proofErr w:type="spellEnd"/>
      <w:r w:rsidRPr="004E7B57">
        <w:t xml:space="preserve"> επιχειρήσεις κατά τα ανωτέρω, το 25 % ή περισσότερο του κεφαλαίου ή των </w:t>
      </w:r>
      <w:proofErr w:type="spellStart"/>
      <w:r w:rsidRPr="004E7B57">
        <w:t>δικαιωµάτων</w:t>
      </w:r>
      <w:proofErr w:type="spellEnd"/>
      <w:r w:rsidRPr="004E7B57">
        <w:t xml:space="preserve"> ψήφου του εν λόγω νομικού προσώπου.</w:t>
      </w:r>
    </w:p>
    <w:bookmarkEnd w:id="10"/>
    <w:p w14:paraId="708B8CF1" w14:textId="77777777" w:rsidR="00911A96" w:rsidRDefault="00911A96" w:rsidP="00E76414">
      <w:pPr>
        <w:pStyle w:val="a3"/>
      </w:pPr>
    </w:p>
    <w:p w14:paraId="7CFCF593" w14:textId="3B916AE3" w:rsidR="00B03B09" w:rsidRPr="00033393" w:rsidRDefault="00B03B09" w:rsidP="00E67595">
      <w:pPr>
        <w:pStyle w:val="a3"/>
        <w:numPr>
          <w:ilvl w:val="0"/>
          <w:numId w:val="11"/>
        </w:numPr>
        <w:rPr>
          <w:sz w:val="22"/>
          <w:szCs w:val="22"/>
        </w:rPr>
      </w:pPr>
      <w:r w:rsidRPr="00033393">
        <w:rPr>
          <w:sz w:val="22"/>
          <w:szCs w:val="22"/>
        </w:rPr>
        <w:t xml:space="preserve">Η Αίτηση Συμμετοχής δύναται να περιλαμβάνει και αίτημα τροποποίησης </w:t>
      </w:r>
      <w:r w:rsidR="00A50C75" w:rsidRPr="00033393">
        <w:rPr>
          <w:sz w:val="22"/>
          <w:szCs w:val="22"/>
        </w:rPr>
        <w:t xml:space="preserve">ή κατάτμησης </w:t>
      </w:r>
      <w:r w:rsidRPr="00033393">
        <w:rPr>
          <w:sz w:val="22"/>
          <w:szCs w:val="22"/>
        </w:rPr>
        <w:t xml:space="preserve">της Άδειας Αποθήκευσης, σύμφωνα με την </w:t>
      </w:r>
      <w:r w:rsidRPr="00A5628C">
        <w:rPr>
          <w:sz w:val="22"/>
          <w:szCs w:val="22"/>
        </w:rPr>
        <w:t>π</w:t>
      </w:r>
      <w:r w:rsidR="009140B7" w:rsidRPr="00A5628C">
        <w:rPr>
          <w:sz w:val="22"/>
          <w:szCs w:val="22"/>
        </w:rPr>
        <w:t>α</w:t>
      </w:r>
      <w:r w:rsidRPr="00A5628C">
        <w:rPr>
          <w:sz w:val="22"/>
          <w:szCs w:val="22"/>
        </w:rPr>
        <w:t>ρ. 3.</w:t>
      </w:r>
      <w:r w:rsidR="00295C17" w:rsidRPr="00A5628C">
        <w:rPr>
          <w:sz w:val="22"/>
          <w:szCs w:val="22"/>
        </w:rPr>
        <w:t>2</w:t>
      </w:r>
      <w:r w:rsidR="00FE13BE" w:rsidRPr="00A5628C">
        <w:rPr>
          <w:sz w:val="22"/>
          <w:szCs w:val="22"/>
        </w:rPr>
        <w:t>7</w:t>
      </w:r>
      <w:r w:rsidRPr="00A5628C">
        <w:rPr>
          <w:sz w:val="22"/>
          <w:szCs w:val="22"/>
        </w:rPr>
        <w:t xml:space="preserve"> του άρθρου 3. Στη</w:t>
      </w:r>
      <w:r w:rsidR="00A24007" w:rsidRPr="00A5628C">
        <w:rPr>
          <w:sz w:val="22"/>
          <w:szCs w:val="22"/>
        </w:rPr>
        <w:t>ν</w:t>
      </w:r>
      <w:r w:rsidRPr="00033393">
        <w:rPr>
          <w:sz w:val="22"/>
          <w:szCs w:val="22"/>
        </w:rPr>
        <w:t xml:space="preserve"> περίπτωση αυτή</w:t>
      </w:r>
      <w:r w:rsidR="00462F60" w:rsidRPr="00033393">
        <w:rPr>
          <w:sz w:val="22"/>
          <w:szCs w:val="22"/>
        </w:rPr>
        <w:t>,</w:t>
      </w:r>
      <w:r w:rsidRPr="00033393">
        <w:rPr>
          <w:sz w:val="22"/>
          <w:szCs w:val="22"/>
        </w:rPr>
        <w:t xml:space="preserve"> η Άδεια </w:t>
      </w:r>
      <w:r w:rsidR="00462F60" w:rsidRPr="00033393">
        <w:rPr>
          <w:sz w:val="22"/>
          <w:szCs w:val="22"/>
        </w:rPr>
        <w:t>Α</w:t>
      </w:r>
      <w:r w:rsidRPr="00033393">
        <w:rPr>
          <w:sz w:val="22"/>
          <w:szCs w:val="22"/>
        </w:rPr>
        <w:t xml:space="preserve">ποθήκευσης </w:t>
      </w:r>
      <w:r w:rsidR="00462F60" w:rsidRPr="00033393">
        <w:rPr>
          <w:sz w:val="22"/>
          <w:szCs w:val="22"/>
        </w:rPr>
        <w:t xml:space="preserve">του Σ.Α.Η.Ε. τροποποιείται </w:t>
      </w:r>
      <w:r w:rsidR="00A50C75" w:rsidRPr="00033393">
        <w:rPr>
          <w:sz w:val="22"/>
          <w:szCs w:val="22"/>
        </w:rPr>
        <w:t xml:space="preserve">ή γίνεται κατάτμηση αυτής </w:t>
      </w:r>
      <w:r w:rsidRPr="00033393">
        <w:rPr>
          <w:sz w:val="22"/>
          <w:szCs w:val="22"/>
        </w:rPr>
        <w:t>με</w:t>
      </w:r>
      <w:r w:rsidR="00E57CE4" w:rsidRPr="00033393">
        <w:rPr>
          <w:sz w:val="22"/>
          <w:szCs w:val="22"/>
        </w:rPr>
        <w:t>τά</w:t>
      </w:r>
      <w:r w:rsidRPr="00033393">
        <w:rPr>
          <w:sz w:val="22"/>
          <w:szCs w:val="22"/>
        </w:rPr>
        <w:t xml:space="preserve"> την έκδοση </w:t>
      </w:r>
      <w:r w:rsidR="00E57CE4" w:rsidRPr="00033393">
        <w:rPr>
          <w:sz w:val="22"/>
          <w:szCs w:val="22"/>
        </w:rPr>
        <w:t>του Οριστικού Καταλόγου Επιλεγέντων, Αποκλεισθέντων και Επιλαχόντων Συμμετεχόντων</w:t>
      </w:r>
      <w:r w:rsidRPr="00033393">
        <w:rPr>
          <w:sz w:val="22"/>
          <w:szCs w:val="22"/>
        </w:rPr>
        <w:t xml:space="preserve"> του άρθρου </w:t>
      </w:r>
      <w:r w:rsidR="00E57CE4" w:rsidRPr="00033393">
        <w:rPr>
          <w:sz w:val="22"/>
          <w:szCs w:val="22"/>
        </w:rPr>
        <w:t>12</w:t>
      </w:r>
      <w:r w:rsidR="00462F60" w:rsidRPr="00033393">
        <w:rPr>
          <w:sz w:val="22"/>
          <w:szCs w:val="22"/>
        </w:rPr>
        <w:t>,</w:t>
      </w:r>
      <w:r w:rsidRPr="00033393">
        <w:rPr>
          <w:sz w:val="22"/>
          <w:szCs w:val="22"/>
        </w:rPr>
        <w:t xml:space="preserve"> </w:t>
      </w:r>
      <w:r w:rsidR="00E57CE4" w:rsidRPr="00033393">
        <w:rPr>
          <w:sz w:val="22"/>
          <w:szCs w:val="22"/>
        </w:rPr>
        <w:t xml:space="preserve">και </w:t>
      </w:r>
      <w:r w:rsidR="00462F60" w:rsidRPr="00033393">
        <w:rPr>
          <w:sz w:val="22"/>
          <w:szCs w:val="22"/>
        </w:rPr>
        <w:t xml:space="preserve">εφόσον </w:t>
      </w:r>
      <w:r w:rsidR="00A24007" w:rsidRPr="00033393">
        <w:rPr>
          <w:sz w:val="22"/>
          <w:szCs w:val="22"/>
        </w:rPr>
        <w:t xml:space="preserve">ο </w:t>
      </w:r>
      <w:r w:rsidR="001000EC" w:rsidRPr="00033393">
        <w:rPr>
          <w:sz w:val="22"/>
          <w:szCs w:val="22"/>
        </w:rPr>
        <w:t xml:space="preserve">Σ.Α.Η.Ε. </w:t>
      </w:r>
      <w:r w:rsidR="00462F60" w:rsidRPr="00033393">
        <w:rPr>
          <w:sz w:val="22"/>
          <w:szCs w:val="22"/>
        </w:rPr>
        <w:t>επιλεγεί προς ενίσχυση.</w:t>
      </w:r>
    </w:p>
    <w:p w14:paraId="7DE5BDF1" w14:textId="77777777" w:rsidR="00FE13BE" w:rsidRDefault="00FE13BE" w:rsidP="00E57CE4">
      <w:pPr>
        <w:pStyle w:val="a3"/>
        <w:rPr>
          <w:sz w:val="22"/>
          <w:szCs w:val="22"/>
        </w:rPr>
      </w:pPr>
    </w:p>
    <w:p w14:paraId="6114F146" w14:textId="0EE18CDD" w:rsidR="00E57CE4" w:rsidRPr="00033393" w:rsidRDefault="00E57CE4" w:rsidP="00E57CE4">
      <w:pPr>
        <w:pStyle w:val="a3"/>
        <w:rPr>
          <w:sz w:val="22"/>
          <w:szCs w:val="22"/>
        </w:rPr>
      </w:pPr>
      <w:r w:rsidRPr="00033393">
        <w:rPr>
          <w:sz w:val="22"/>
          <w:szCs w:val="22"/>
        </w:rPr>
        <w:t>Από την υποβληθείσα Αίτηση Συμμετοχής πρέπει να συνάγεται σαφώς ότι δεν υφίσταται λόγος αποκλεισμού του Συμμετέχοντος, αλλιώς αυτός θα αποκλείεται.</w:t>
      </w:r>
    </w:p>
    <w:p w14:paraId="60E3D741" w14:textId="77777777" w:rsidR="00E57CE4" w:rsidRPr="004E7B57" w:rsidRDefault="00E57CE4" w:rsidP="003F0DAE">
      <w:pPr>
        <w:pStyle w:val="a3"/>
        <w:ind w:left="720"/>
      </w:pPr>
    </w:p>
    <w:p w14:paraId="06EE6F24" w14:textId="20067D90" w:rsidR="000546D5" w:rsidRDefault="002B6924" w:rsidP="00E76414">
      <w:pPr>
        <w:pStyle w:val="a3"/>
        <w:rPr>
          <w:sz w:val="22"/>
          <w:szCs w:val="22"/>
        </w:rPr>
      </w:pPr>
      <w:r w:rsidRPr="00D53717">
        <w:rPr>
          <w:b/>
          <w:bCs/>
          <w:sz w:val="22"/>
          <w:szCs w:val="22"/>
        </w:rPr>
        <w:t>1</w:t>
      </w:r>
      <w:r w:rsidR="009A0818" w:rsidRPr="00D53717">
        <w:rPr>
          <w:b/>
          <w:bCs/>
          <w:sz w:val="22"/>
          <w:szCs w:val="22"/>
        </w:rPr>
        <w:t>1</w:t>
      </w:r>
      <w:r w:rsidRPr="00D53717">
        <w:rPr>
          <w:b/>
          <w:bCs/>
          <w:sz w:val="22"/>
          <w:szCs w:val="22"/>
        </w:rPr>
        <w:t>.</w:t>
      </w:r>
      <w:r w:rsidR="008B4F43" w:rsidRPr="00D53717">
        <w:rPr>
          <w:b/>
          <w:bCs/>
          <w:sz w:val="22"/>
          <w:szCs w:val="22"/>
        </w:rPr>
        <w:t>2</w:t>
      </w:r>
      <w:r w:rsidRPr="00D53717">
        <w:rPr>
          <w:b/>
          <w:bCs/>
          <w:sz w:val="22"/>
          <w:szCs w:val="22"/>
        </w:rPr>
        <w:t>.2</w:t>
      </w:r>
      <w:r w:rsidR="005D1A14" w:rsidRPr="00D53717">
        <w:rPr>
          <w:b/>
          <w:bCs/>
          <w:sz w:val="22"/>
          <w:szCs w:val="22"/>
        </w:rPr>
        <w:t>.</w:t>
      </w:r>
      <w:r w:rsidRPr="00D53717">
        <w:rPr>
          <w:sz w:val="22"/>
          <w:szCs w:val="22"/>
        </w:rPr>
        <w:t xml:space="preserve"> </w:t>
      </w:r>
      <w:r w:rsidRPr="00D53717">
        <w:rPr>
          <w:b/>
          <w:bCs/>
          <w:sz w:val="22"/>
          <w:szCs w:val="22"/>
        </w:rPr>
        <w:t>Το Τέλος Συμμετοχής</w:t>
      </w:r>
      <w:r w:rsidRPr="00D53717">
        <w:rPr>
          <w:sz w:val="22"/>
          <w:szCs w:val="22"/>
        </w:rPr>
        <w:t xml:space="preserve">, σύμφωνα με τα </w:t>
      </w:r>
      <w:r w:rsidR="00B51069" w:rsidRPr="00D53717">
        <w:rPr>
          <w:sz w:val="22"/>
          <w:szCs w:val="22"/>
        </w:rPr>
        <w:t>ο</w:t>
      </w:r>
      <w:r w:rsidRPr="00D53717">
        <w:rPr>
          <w:sz w:val="22"/>
          <w:szCs w:val="22"/>
        </w:rPr>
        <w:t xml:space="preserve">ριζόμενα στο άρθρο </w:t>
      </w:r>
      <w:r w:rsidR="009A0818" w:rsidRPr="00D53717">
        <w:rPr>
          <w:sz w:val="22"/>
          <w:szCs w:val="22"/>
        </w:rPr>
        <w:t>9</w:t>
      </w:r>
      <w:r w:rsidRPr="00D53717">
        <w:rPr>
          <w:sz w:val="22"/>
          <w:szCs w:val="22"/>
        </w:rPr>
        <w:t xml:space="preserve"> της Προκήρυξης.</w:t>
      </w:r>
    </w:p>
    <w:p w14:paraId="4A1FB055" w14:textId="77777777" w:rsidR="002E557B" w:rsidRPr="00D53717" w:rsidRDefault="002E557B" w:rsidP="00E76414">
      <w:pPr>
        <w:pStyle w:val="a3"/>
        <w:rPr>
          <w:sz w:val="22"/>
          <w:szCs w:val="22"/>
        </w:rPr>
      </w:pPr>
    </w:p>
    <w:p w14:paraId="042A669D" w14:textId="340BBE93" w:rsidR="000546D5" w:rsidRPr="00D53717" w:rsidRDefault="002B6924" w:rsidP="00E76414">
      <w:r w:rsidRPr="004E7B57">
        <w:rPr>
          <w:b/>
          <w:bCs/>
        </w:rPr>
        <w:t>1</w:t>
      </w:r>
      <w:r w:rsidR="009A0818" w:rsidRPr="004E7B57">
        <w:rPr>
          <w:b/>
          <w:bCs/>
        </w:rPr>
        <w:t>1</w:t>
      </w:r>
      <w:r w:rsidRPr="004E7B57">
        <w:rPr>
          <w:b/>
          <w:bCs/>
        </w:rPr>
        <w:t>.</w:t>
      </w:r>
      <w:r w:rsidR="008B4F43">
        <w:rPr>
          <w:b/>
          <w:bCs/>
        </w:rPr>
        <w:t>2</w:t>
      </w:r>
      <w:r w:rsidRPr="004E7B57">
        <w:rPr>
          <w:b/>
          <w:bCs/>
        </w:rPr>
        <w:t>.3</w:t>
      </w:r>
      <w:r w:rsidR="005D1A14" w:rsidRPr="004E7B57">
        <w:rPr>
          <w:b/>
          <w:bCs/>
        </w:rPr>
        <w:t>.</w:t>
      </w:r>
      <w:r w:rsidRPr="004E7B57">
        <w:t xml:space="preserve"> Σε περίπτωση Συμμετέχοντος νομικού προσώπου, η ως άνω Αίτηση Συμμετοχής απαιτείται να συνοδεύεται από </w:t>
      </w:r>
      <w:bookmarkStart w:id="11" w:name="_Hlk136505798"/>
      <w:r w:rsidRPr="004E7B57">
        <w:rPr>
          <w:b/>
        </w:rPr>
        <w:t xml:space="preserve">Πρακτικό απόφασης </w:t>
      </w:r>
      <w:r w:rsidRPr="004E7B57">
        <w:t>του Διοικητικού Συμβουλίου της εταιρείας, σε περίπτωση Α.Ε., ή απόφαση των διαχειριστών, σε περίπτωση Ε.Π.Ε. ή Ο.Ε. ή</w:t>
      </w:r>
      <w:r w:rsidR="00C1644C" w:rsidRPr="004E7B57">
        <w:t xml:space="preserve"> </w:t>
      </w:r>
      <w:r w:rsidRPr="004E7B57">
        <w:t xml:space="preserve">Ε.Ε. ή Ι.Κ.Ε., ή των οργάνων διοίκησης για </w:t>
      </w:r>
      <w:r w:rsidRPr="00D53717">
        <w:t>κάθε άλλη μορφή εταιρείας ή νομικού προσώπου,</w:t>
      </w:r>
      <w:r w:rsidR="005D1A14" w:rsidRPr="00D53717">
        <w:t xml:space="preserve"> </w:t>
      </w:r>
      <w:r w:rsidRPr="00D53717">
        <w:t>για κάθε Συμμετέχοντα, με την οποία, μεταξύ άλλων:</w:t>
      </w:r>
    </w:p>
    <w:p w14:paraId="4B4DBF35" w14:textId="77777777" w:rsidR="00A737D6" w:rsidRDefault="00EA1B4D" w:rsidP="00A737D6">
      <w:pPr>
        <w:pStyle w:val="a4"/>
        <w:numPr>
          <w:ilvl w:val="0"/>
          <w:numId w:val="45"/>
        </w:numPr>
        <w:tabs>
          <w:tab w:val="clear" w:pos="1189"/>
        </w:tabs>
      </w:pPr>
      <w:r w:rsidRPr="00A737D6">
        <w:t>Εγκρίνεται η συμμετοχή του στην Ανταγωνιστική Διαδικασία.</w:t>
      </w:r>
    </w:p>
    <w:p w14:paraId="03558896" w14:textId="7F0A5AE3" w:rsidR="000546D5" w:rsidRPr="00D53717" w:rsidRDefault="00EA1B4D" w:rsidP="00A737D6">
      <w:pPr>
        <w:pStyle w:val="a4"/>
        <w:numPr>
          <w:ilvl w:val="0"/>
          <w:numId w:val="45"/>
        </w:numPr>
        <w:tabs>
          <w:tab w:val="clear" w:pos="1189"/>
        </w:tabs>
      </w:pPr>
      <w:r w:rsidRPr="00A737D6">
        <w:t xml:space="preserve">Ορίζεται εκπρόσωπος </w:t>
      </w:r>
      <w:r w:rsidR="001D65AC" w:rsidRPr="00A737D6">
        <w:t xml:space="preserve">(αντίκλητος) του νομικού προσώπου </w:t>
      </w:r>
      <w:r w:rsidRPr="00A737D6">
        <w:t>με εξουσία να υπογράφει δεσμευτικά για</w:t>
      </w:r>
      <w:r w:rsidRPr="00D53717">
        <w:t xml:space="preserve"> τον Συμμετέχοντα την Αίτηση Συμμετοχής και </w:t>
      </w:r>
      <w:r w:rsidR="005820B1" w:rsidRPr="00D53717">
        <w:t xml:space="preserve">να υποβάλει </w:t>
      </w:r>
      <w:r w:rsidRPr="00D53717">
        <w:t>όλα τα έγγραφα της Ανταγωνιστικής Διαδικασίας, με πλήρη στοιχεία επικοινωνίας αυτού (ονοματεπώνυμο, διεύθυνση, αριθμός τηλεφώνου, e-</w:t>
      </w:r>
      <w:proofErr w:type="spellStart"/>
      <w:r w:rsidRPr="00D53717">
        <w:t>mail</w:t>
      </w:r>
      <w:proofErr w:type="spellEnd"/>
      <w:r w:rsidRPr="00D53717">
        <w:t xml:space="preserve"> κ.λπ.), προκειμένου να μπορεί η </w:t>
      </w:r>
      <w:r w:rsidR="00CF21E9" w:rsidRPr="00D53717">
        <w:t>Ρ.Α.Α.Ε.Υ.</w:t>
      </w:r>
      <w:r w:rsidRPr="00D53717">
        <w:t xml:space="preserve"> να επικοινωνήσει με τον Συμμετέχοντα.</w:t>
      </w:r>
    </w:p>
    <w:bookmarkEnd w:id="11"/>
    <w:p w14:paraId="036597FF" w14:textId="2D659AD3" w:rsidR="000546D5" w:rsidRPr="00D53717" w:rsidRDefault="00856EDC" w:rsidP="00E76414">
      <w:pPr>
        <w:pStyle w:val="a3"/>
        <w:rPr>
          <w:sz w:val="22"/>
          <w:szCs w:val="22"/>
        </w:rPr>
      </w:pPr>
      <w:r w:rsidRPr="00D53717">
        <w:rPr>
          <w:sz w:val="22"/>
          <w:szCs w:val="22"/>
        </w:rPr>
        <w:t xml:space="preserve">Η ανωτέρω απόφαση συντάσσεται σύμφωνα με το Παράρτημα Γ της Προκήρυξης και υποβάλλεται σε </w:t>
      </w:r>
      <w:r w:rsidR="00A5628C">
        <w:rPr>
          <w:sz w:val="22"/>
          <w:szCs w:val="22"/>
        </w:rPr>
        <w:t xml:space="preserve">ακριβές </w:t>
      </w:r>
      <w:r w:rsidRPr="00D53717">
        <w:rPr>
          <w:sz w:val="22"/>
          <w:szCs w:val="22"/>
        </w:rPr>
        <w:t>αντίγραφο.</w:t>
      </w:r>
    </w:p>
    <w:p w14:paraId="7D037DB7" w14:textId="77777777" w:rsidR="00E11D5D" w:rsidRPr="004E7B57" w:rsidRDefault="00E11D5D" w:rsidP="00E76414">
      <w:pPr>
        <w:pStyle w:val="a3"/>
      </w:pPr>
    </w:p>
    <w:p w14:paraId="6B84B945" w14:textId="47F1DA02" w:rsidR="000546D5" w:rsidRPr="004E7B57" w:rsidRDefault="00EA1B4D" w:rsidP="009B5ABA">
      <w:pPr>
        <w:rPr>
          <w:b/>
        </w:rPr>
      </w:pPr>
      <w:r w:rsidRPr="009B5ABA">
        <w:rPr>
          <w:b/>
          <w:bCs/>
        </w:rPr>
        <w:lastRenderedPageBreak/>
        <w:t>1</w:t>
      </w:r>
      <w:r w:rsidR="009A0818" w:rsidRPr="009B5ABA">
        <w:rPr>
          <w:b/>
          <w:bCs/>
        </w:rPr>
        <w:t>1</w:t>
      </w:r>
      <w:r w:rsidRPr="009B5ABA">
        <w:rPr>
          <w:b/>
          <w:bCs/>
        </w:rPr>
        <w:t>.</w:t>
      </w:r>
      <w:r w:rsidR="001D65AC">
        <w:rPr>
          <w:b/>
          <w:bCs/>
        </w:rPr>
        <w:t>2</w:t>
      </w:r>
      <w:r w:rsidRPr="009B5ABA">
        <w:rPr>
          <w:b/>
          <w:bCs/>
        </w:rPr>
        <w:t>.4</w:t>
      </w:r>
      <w:r w:rsidR="003F6B7D" w:rsidRPr="009B5ABA">
        <w:rPr>
          <w:b/>
          <w:bCs/>
        </w:rPr>
        <w:t>.</w:t>
      </w:r>
      <w:r w:rsidRPr="009B5ABA">
        <w:rPr>
          <w:b/>
          <w:bCs/>
        </w:rPr>
        <w:t xml:space="preserve"> </w:t>
      </w:r>
      <w:bookmarkStart w:id="12" w:name="_Hlk136505823"/>
      <w:r w:rsidRPr="009B5ABA">
        <w:rPr>
          <w:b/>
          <w:bCs/>
        </w:rPr>
        <w:t>Νομιμοποιητικά έγγραφα και στοιχεία Συμμετέχοντος</w:t>
      </w:r>
      <w:r w:rsidRPr="004E7B57">
        <w:t>:</w:t>
      </w:r>
    </w:p>
    <w:p w14:paraId="73913D20" w14:textId="1552776E" w:rsidR="000546D5" w:rsidRPr="004E7B57" w:rsidRDefault="00EA1B4D" w:rsidP="008A16CF">
      <w:pPr>
        <w:pStyle w:val="a4"/>
        <w:ind w:left="426"/>
      </w:pPr>
      <w:r w:rsidRPr="004E7B57">
        <w:rPr>
          <w:b/>
          <w:bCs/>
        </w:rPr>
        <w:t>1.</w:t>
      </w:r>
      <w:r w:rsidRPr="004E7B57">
        <w:t xml:space="preserve"> Αν ο Συμμετέχων είναι εταιρεία (Α.Ε., Ο.Ε., Ε.Ε., Ε.Π.Ε., Ι.Κ.Ε., κ.λπ.) ή Ενεργειακή Κοινότητα </w:t>
      </w:r>
      <w:r w:rsidR="006F010B" w:rsidRPr="004E7B57">
        <w:t xml:space="preserve"> κατά την έννοια του ν. 4513/2018 (Α’ 9), ή Κοινότητα Ανανεώσιμης Ενέργειας, κατά την έννοια τ</w:t>
      </w:r>
      <w:r w:rsidR="0018699E" w:rsidRPr="004E7B57">
        <w:t>ου Κεφαλαίου ΒΑ</w:t>
      </w:r>
      <w:r w:rsidR="00A5628C">
        <w:t>’</w:t>
      </w:r>
      <w:r w:rsidR="006F010B" w:rsidRPr="004E7B57">
        <w:t xml:space="preserve"> του ν. 3468/2006 ή Ενεργειακή Κοινότητα Πολιτών, κατά την έννοια των άρθρων</w:t>
      </w:r>
      <w:r w:rsidR="0018699E" w:rsidRPr="004E7B57">
        <w:t xml:space="preserve"> 47Α - 47ΙΒ </w:t>
      </w:r>
      <w:r w:rsidR="006F010B" w:rsidRPr="004E7B57">
        <w:t xml:space="preserve">του ν. 4001/2011, </w:t>
      </w:r>
      <w:r w:rsidR="00792F7B">
        <w:t xml:space="preserve">οφείλει </w:t>
      </w:r>
      <w:r w:rsidRPr="004E7B57">
        <w:t>να υποβάλει</w:t>
      </w:r>
      <w:r w:rsidR="00A5628C" w:rsidRPr="00A07986">
        <w:t>:</w:t>
      </w:r>
      <w:r w:rsidRPr="004E7B57">
        <w:t xml:space="preserve"> </w:t>
      </w:r>
      <w:r w:rsidR="00E11D5D">
        <w:t xml:space="preserve">(α) </w:t>
      </w:r>
      <w:r w:rsidRPr="004E7B57">
        <w:t>αντίγραφο του πλέον πρόσφατου (κωδικοποιημένου) καταστατικού δημοσιευμένου στο Γενικό</w:t>
      </w:r>
      <w:r w:rsidR="00817B89" w:rsidRPr="004E7B57">
        <w:t xml:space="preserve"> </w:t>
      </w:r>
      <w:r w:rsidR="00856EDC" w:rsidRPr="004E7B57">
        <w:t xml:space="preserve">Εμπορικό Μητρώο (Γ.Ε.ΜΗ.), με το σύνολο των τροποποιήσεών του μέχρι την ημερομηνία κατάθεσης της Αίτησης Συμμετοχής, </w:t>
      </w:r>
      <w:r w:rsidR="00E11D5D">
        <w:t xml:space="preserve">(β) </w:t>
      </w:r>
      <w:r w:rsidR="00856EDC" w:rsidRPr="004E7B57">
        <w:t>πρόσφατο Γενικό Πιστοποιητικό</w:t>
      </w:r>
      <w:r w:rsidR="00033393">
        <w:t xml:space="preserve"> και </w:t>
      </w:r>
      <w:r w:rsidR="00E11D5D">
        <w:t xml:space="preserve">(γ) </w:t>
      </w:r>
      <w:r w:rsidR="00856EDC" w:rsidRPr="004E7B57">
        <w:t>Αναλυτικό Πιστοποιητικό ισχύουσας Εκπροσώπησης Γ.Ε.ΜΗ</w:t>
      </w:r>
      <w:r w:rsidR="00856EDC" w:rsidRPr="0041182A">
        <w:t>, όπως ορίζονται στο Παράρτημα Β</w:t>
      </w:r>
      <w:bookmarkEnd w:id="12"/>
      <w:r w:rsidR="00856EDC" w:rsidRPr="0041182A">
        <w:t>.</w:t>
      </w:r>
    </w:p>
    <w:p w14:paraId="25E2FA13" w14:textId="5937ED73" w:rsidR="000546D5" w:rsidRPr="004E7B57" w:rsidRDefault="00EA1B4D" w:rsidP="008A16CF">
      <w:pPr>
        <w:pStyle w:val="a4"/>
        <w:ind w:left="426"/>
      </w:pPr>
      <w:r w:rsidRPr="004E7B57">
        <w:rPr>
          <w:b/>
          <w:bCs/>
        </w:rPr>
        <w:t>2.</w:t>
      </w:r>
      <w:r w:rsidRPr="004E7B57">
        <w:t xml:space="preserve"> Αν ο Συμμετέχων είναι νομικό πρόσωπο δημοσίου δικαίου (Ν.Π.Δ.Δ.), νομικό πρόσωπο ιδιωτικού δικαίου (Ν.Π.Ι.Δ.), ίδρυμα, σωματείο ή συνεταιρισμός, απαιτείται να προσκομίσει αντίγραφο της ιδρυτικής του πράξης, τις πράξεις τροποποίησης της ιδρυτικής του πράξης ή το κωδικοποιημένο καταστατικό του, την απόφαση εκλογής / συγκρότησης του οργάνου διοίκησης, και της εκπροσώπησης και </w:t>
      </w:r>
      <w:r w:rsidRPr="00792F7B">
        <w:t>κατά περίπτωση</w:t>
      </w:r>
      <w:r w:rsidRPr="004E7B57">
        <w:t xml:space="preserve"> βεβαιώσεις αρμόδιου κατά τόπου Πρωτοδικείου έδρας νομικού προσώπου ή άλλης Διοικητικής Αρχής για τις τροποποιήσεις του καταστατικού του, εκπροσώπηση, μη λύση κ.λπ</w:t>
      </w:r>
      <w:r w:rsidRPr="0041182A">
        <w:t>., όπως ορίζονται στο Παράρτημα Β.</w:t>
      </w:r>
    </w:p>
    <w:p w14:paraId="0FA071B6" w14:textId="76EC9D78" w:rsidR="000546D5" w:rsidRPr="004E7B57" w:rsidRDefault="00EA1B4D" w:rsidP="008A16CF">
      <w:pPr>
        <w:pStyle w:val="a4"/>
        <w:ind w:left="426"/>
      </w:pPr>
      <w:r w:rsidRPr="004E7B57">
        <w:rPr>
          <w:b/>
          <w:bCs/>
        </w:rPr>
        <w:t>3.</w:t>
      </w:r>
      <w:r w:rsidRPr="004E7B57">
        <w:t xml:space="preserve"> Αν ο Συμμετέχων είναι φυσικό πρόσωπο απαιτείται να προσκομίσει απλό αντίγραφο της αστυνομικής του ταυτότητας και την έναρξη επιτηδεύματος από την αντίστοιχη Δημόσια Οικονομική Υπηρεσία με τις μεταβολές της, όπως ορίζονται στο </w:t>
      </w:r>
      <w:r w:rsidRPr="0041182A">
        <w:t>Παράρτημα Β.</w:t>
      </w:r>
      <w:r w:rsidRPr="004E7B57">
        <w:t xml:space="preserve"> Η προσκόμιση απλού αντιγράφου έναρξης επιτηδεύματος του φυσικού προσώπου με τις πιθανές μεταβολές της από την επίσημη σελίδα της Γενικής Γραμματείας Πληροφοριακών</w:t>
      </w:r>
      <w:r w:rsidR="00F2748D" w:rsidRPr="004E7B57">
        <w:t xml:space="preserve"> </w:t>
      </w:r>
      <w:r w:rsidRPr="004E7B57">
        <w:t xml:space="preserve">Συστημάτων είναι αποδεκτή, εφόσον συνοδεύεται και από σχετική Υπεύθυνη Δήλωση του αιτούντος σχετικά με την ορθότητα των υποβληθέντων στοιχείων. Επιπροσθέτως, προσκομίζεται πρόσφατο Ενιαίο Πιστοποιητικό Δικαστικής Φερεγγυότητας, όπως ορίζεται στο </w:t>
      </w:r>
      <w:r w:rsidRPr="0041182A">
        <w:t>Παράρτημα Β.</w:t>
      </w:r>
    </w:p>
    <w:p w14:paraId="19371F8C" w14:textId="2E8FD933" w:rsidR="000546D5" w:rsidRDefault="00EA1B4D" w:rsidP="008A16CF">
      <w:pPr>
        <w:pStyle w:val="a4"/>
        <w:ind w:left="426"/>
      </w:pPr>
      <w:r w:rsidRPr="004E7B57">
        <w:rPr>
          <w:b/>
          <w:bCs/>
        </w:rPr>
        <w:t>4.</w:t>
      </w:r>
      <w:r w:rsidRPr="004E7B57">
        <w:t xml:space="preserve"> </w:t>
      </w:r>
      <w:bookmarkStart w:id="13" w:name="_Hlk136505875"/>
      <w:r w:rsidRPr="004E7B57">
        <w:t>Πρόσφατα πιστοποιητικά φορολογικής και ασφαλιστικής ενημερότητας του Συμμετέχοντος.</w:t>
      </w:r>
      <w:bookmarkEnd w:id="13"/>
    </w:p>
    <w:p w14:paraId="1DDB91E0" w14:textId="77777777" w:rsidR="009918FA" w:rsidRPr="004E7B57" w:rsidRDefault="009918FA" w:rsidP="00E76414">
      <w:pPr>
        <w:pStyle w:val="a4"/>
      </w:pPr>
    </w:p>
    <w:p w14:paraId="72C1FBD3" w14:textId="042C20E4" w:rsidR="000546D5" w:rsidRDefault="00EA1B4D" w:rsidP="00E76414">
      <w:bookmarkStart w:id="14" w:name="_Hlk136505908"/>
      <w:r w:rsidRPr="004E7B57">
        <w:t>Σημειώνεται ότι τα ανωτέρω απαιτούμενα πιστοποιητικά που υποβάλλονται στο πλαίσιο συμμετοχής στην Ανταγωνιστική Διαδικασία πρέπει να είναι όσο το δυνατόν πιο πρόσφατα και σε κάθε περίπτωση να έχουν εκδοθεί το αργότερο τριάντα (30) ημέρες πριν την προσκόμισή τους και την υποβολή της Αίτησης Συμμετοχής.</w:t>
      </w:r>
      <w:bookmarkEnd w:id="14"/>
    </w:p>
    <w:p w14:paraId="16E6AFD0" w14:textId="01CE2BE9" w:rsidR="000546D5" w:rsidRPr="004E7B57" w:rsidRDefault="00EA1B4D" w:rsidP="00E76414">
      <w:r w:rsidRPr="004E7B57">
        <w:t>Αν ο Συμμετέχων είναι φυσικό ή νομικό πρόσωπο με έδρα στην</w:t>
      </w:r>
      <w:r w:rsidR="00F2748D" w:rsidRPr="004E7B57">
        <w:t xml:space="preserve"> </w:t>
      </w:r>
      <w:r w:rsidRPr="004E7B57">
        <w:t xml:space="preserve">αλλοδαπή, απαιτείται να προσκομίσει τα αντίστοιχα νομιμοποιητικά έγγραφα, κατά περίπτωση, </w:t>
      </w:r>
      <w:r w:rsidR="0098386B" w:rsidRPr="004E7B57">
        <w:t>συμπεριλαμβανομένης της άδειας αποθήκευσης ηλεκτρικής ενέργειας</w:t>
      </w:r>
      <w:r w:rsidR="00E11D5D">
        <w:t xml:space="preserve"> ή αντίστοιχης άδειας/έγκρισης</w:t>
      </w:r>
      <w:r w:rsidR="0098386B" w:rsidRPr="004E7B57">
        <w:t xml:space="preserve">, </w:t>
      </w:r>
      <w:r w:rsidRPr="004E7B57">
        <w:t xml:space="preserve">από τις αρμόδιες αρχές του κράτους της έδρας του, νομίμως επικυρωμένα σύμφωνα με </w:t>
      </w:r>
      <w:r w:rsidRPr="00422D7F">
        <w:t>το άρθρο 4</w:t>
      </w:r>
      <w:r w:rsidRPr="004E7B57">
        <w:t xml:space="preserve"> της παρούσας.</w:t>
      </w:r>
    </w:p>
    <w:p w14:paraId="5825BE68" w14:textId="77777777" w:rsidR="000546D5" w:rsidRPr="004E7B57" w:rsidRDefault="000546D5" w:rsidP="00E76414">
      <w:pPr>
        <w:pStyle w:val="a3"/>
      </w:pPr>
    </w:p>
    <w:p w14:paraId="3B068B5A" w14:textId="5D773BEC" w:rsidR="000546D5" w:rsidRPr="004E7B57" w:rsidRDefault="00EA1B4D" w:rsidP="009B5ABA">
      <w:r w:rsidRPr="009B5ABA">
        <w:rPr>
          <w:b/>
          <w:bCs/>
        </w:rPr>
        <w:t>1</w:t>
      </w:r>
      <w:r w:rsidR="00337D03" w:rsidRPr="009B5ABA">
        <w:rPr>
          <w:b/>
          <w:bCs/>
        </w:rPr>
        <w:t>1</w:t>
      </w:r>
      <w:r w:rsidRPr="009B5ABA">
        <w:rPr>
          <w:b/>
          <w:bCs/>
        </w:rPr>
        <w:t>.</w:t>
      </w:r>
      <w:r w:rsidR="009918FA">
        <w:rPr>
          <w:b/>
          <w:bCs/>
        </w:rPr>
        <w:t>3</w:t>
      </w:r>
      <w:r w:rsidR="009918FA" w:rsidRPr="009B5ABA">
        <w:rPr>
          <w:b/>
          <w:bCs/>
        </w:rPr>
        <w:t xml:space="preserve"> </w:t>
      </w:r>
      <w:r w:rsidRPr="009B5ABA">
        <w:rPr>
          <w:b/>
          <w:bCs/>
        </w:rPr>
        <w:t>Εγγυητικές Επιστολές</w:t>
      </w:r>
      <w:r w:rsidRPr="004E7B57">
        <w:t>:</w:t>
      </w:r>
    </w:p>
    <w:p w14:paraId="051CC0EF" w14:textId="114DE5F8" w:rsidR="000546D5" w:rsidRPr="004E7B57" w:rsidRDefault="00EA1B4D" w:rsidP="009B5ABA">
      <w:pPr>
        <w:pStyle w:val="a4"/>
        <w:ind w:left="0"/>
      </w:pPr>
      <w:r w:rsidRPr="004E7B57">
        <w:rPr>
          <w:b/>
        </w:rPr>
        <w:t>1</w:t>
      </w:r>
      <w:r w:rsidR="00337D03" w:rsidRPr="004E7B57">
        <w:rPr>
          <w:b/>
        </w:rPr>
        <w:t>1</w:t>
      </w:r>
      <w:r w:rsidRPr="004E7B57">
        <w:rPr>
          <w:b/>
        </w:rPr>
        <w:t>.</w:t>
      </w:r>
      <w:r w:rsidR="009918FA">
        <w:rPr>
          <w:b/>
        </w:rPr>
        <w:t>3</w:t>
      </w:r>
      <w:r w:rsidRPr="004E7B57">
        <w:rPr>
          <w:b/>
        </w:rPr>
        <w:t xml:space="preserve">.1 Εγγυητική Επιστολή Συμμετοχής </w:t>
      </w:r>
      <w:r w:rsidRPr="004E7B57">
        <w:t xml:space="preserve">για την εξασφάλιση της συμμετοχής Ενδιαφερομένου στην Ανταγωνιστική Διαδικασία και τη διασφάλιση της καλής και αποτελεσματικής διεξαγωγής της, η οποία εκδίδεται προς και καταπίπτει υπέρ </w:t>
      </w:r>
      <w:r w:rsidR="00CF21E9" w:rsidRPr="004E7B57">
        <w:t>Ρ.Α.Α.Ε.Υ.</w:t>
      </w:r>
    </w:p>
    <w:p w14:paraId="2BB19A82" w14:textId="64D833D3" w:rsidR="000546D5" w:rsidRPr="004E7B57" w:rsidRDefault="003F6B7D" w:rsidP="00E11D5D">
      <w:pPr>
        <w:ind w:left="426"/>
      </w:pPr>
      <w:r w:rsidRPr="004E7B57">
        <w:rPr>
          <w:b/>
        </w:rPr>
        <w:t>1.</w:t>
      </w:r>
      <w:r w:rsidR="00856EDC" w:rsidRPr="004E7B57">
        <w:rPr>
          <w:b/>
        </w:rPr>
        <w:t xml:space="preserve"> Κατάθεση: </w:t>
      </w:r>
      <w:r w:rsidR="009918FA" w:rsidRPr="003F0DAE">
        <w:rPr>
          <w:bCs/>
        </w:rPr>
        <w:t>Η</w:t>
      </w:r>
      <w:r w:rsidR="009918FA">
        <w:rPr>
          <w:b/>
        </w:rPr>
        <w:t xml:space="preserve"> </w:t>
      </w:r>
      <w:r w:rsidR="009918FA" w:rsidRPr="003F0DAE">
        <w:rPr>
          <w:bCs/>
        </w:rPr>
        <w:t>Εγγυητική Επιστολή Συμμετοχής υποβάλλεται σε αντίγραφο στην Ηλεκτρονική</w:t>
      </w:r>
      <w:r w:rsidR="009918FA">
        <w:rPr>
          <w:bCs/>
        </w:rPr>
        <w:t xml:space="preserve"> Εφαρμογή και</w:t>
      </w:r>
      <w:r w:rsidR="009918FA">
        <w:rPr>
          <w:b/>
        </w:rPr>
        <w:t xml:space="preserve"> </w:t>
      </w:r>
      <w:r w:rsidR="009918FA">
        <w:t>η</w:t>
      </w:r>
      <w:r w:rsidR="009918FA" w:rsidRPr="004E7B57">
        <w:t xml:space="preserve"> </w:t>
      </w:r>
      <w:r w:rsidR="00856EDC" w:rsidRPr="004E7B57">
        <w:t xml:space="preserve">πρωτότυπη Εγγυητική Επιστολή Συμμετοχής κατατίθεται στη </w:t>
      </w:r>
      <w:r w:rsidR="00CF21E9" w:rsidRPr="004E7B57">
        <w:t>Ρ.Α.Α.Ε.Υ.</w:t>
      </w:r>
      <w:r w:rsidR="00856EDC" w:rsidRPr="004E7B57">
        <w:t xml:space="preserve"> σε</w:t>
      </w:r>
      <w:r w:rsidR="00EA1B4D" w:rsidRPr="004E7B57">
        <w:t xml:space="preserve"> </w:t>
      </w:r>
      <w:r w:rsidR="00856EDC" w:rsidRPr="004E7B57">
        <w:t>κλειστό και σφραγισμένο φάκελο</w:t>
      </w:r>
      <w:r w:rsidR="009918FA">
        <w:t>, εντός δύο (2) ημερών από τη λήξη της προθεσμίας υποβολής των αιτήσεων συμμετοχής</w:t>
      </w:r>
      <w:r w:rsidR="00E11D5D" w:rsidRPr="003F0DAE">
        <w:t>.</w:t>
      </w:r>
    </w:p>
    <w:p w14:paraId="57814784" w14:textId="29F65347" w:rsidR="000546D5" w:rsidRPr="004E7B57" w:rsidRDefault="003F6B7D" w:rsidP="009B5ABA">
      <w:pPr>
        <w:ind w:left="426"/>
      </w:pPr>
      <w:r w:rsidRPr="002566EC">
        <w:rPr>
          <w:b/>
          <w:bCs/>
        </w:rPr>
        <w:t>2</w:t>
      </w:r>
      <w:r w:rsidR="00856EDC" w:rsidRPr="002566EC">
        <w:rPr>
          <w:b/>
          <w:bCs/>
        </w:rPr>
        <w:t>. Ποσό:</w:t>
      </w:r>
      <w:r w:rsidR="00856EDC" w:rsidRPr="004E7B57">
        <w:t xml:space="preserve"> Η Εγγυητική Επιστολή Συμμετοχής</w:t>
      </w:r>
      <w:r w:rsidR="006C3E9D" w:rsidRPr="004E7B57">
        <w:t xml:space="preserve"> </w:t>
      </w:r>
      <w:r w:rsidR="00856EDC" w:rsidRPr="004E7B57">
        <w:t xml:space="preserve">ανέρχεται στο ποσό των </w:t>
      </w:r>
      <w:r w:rsidRPr="004E7B57">
        <w:t xml:space="preserve">ευρώ </w:t>
      </w:r>
      <w:r w:rsidR="005E29B6">
        <w:t xml:space="preserve">τριάντα πέντε </w:t>
      </w:r>
      <w:r w:rsidR="005E29B6" w:rsidRPr="004E7B57">
        <w:t xml:space="preserve">  </w:t>
      </w:r>
      <w:r w:rsidR="00856EDC" w:rsidRPr="004E7B57">
        <w:t>χιλιάδων</w:t>
      </w:r>
      <w:r w:rsidRPr="004E7B57">
        <w:t xml:space="preserve"> </w:t>
      </w:r>
      <w:r w:rsidR="00F2748D" w:rsidRPr="004E7B57">
        <w:t xml:space="preserve">ανά </w:t>
      </w:r>
      <w:r w:rsidR="00F2748D" w:rsidRPr="004E7B57">
        <w:rPr>
          <w:lang w:val="en-US"/>
        </w:rPr>
        <w:t>MW</w:t>
      </w:r>
      <w:r w:rsidR="00F2748D" w:rsidRPr="004E7B57">
        <w:t xml:space="preserve"> μέγιστης εγχεόμενης ισχύος </w:t>
      </w:r>
      <w:r w:rsidR="00856EDC" w:rsidRPr="004E7B57">
        <w:t>(</w:t>
      </w:r>
      <w:r w:rsidRPr="004E7B57">
        <w:t xml:space="preserve">€ </w:t>
      </w:r>
      <w:r w:rsidR="005E29B6">
        <w:t>35</w:t>
      </w:r>
      <w:r w:rsidR="00856EDC" w:rsidRPr="004E7B57">
        <w:t>.000</w:t>
      </w:r>
      <w:r w:rsidR="00F2748D" w:rsidRPr="004E7B57">
        <w:t>/</w:t>
      </w:r>
      <w:r w:rsidR="00F2748D" w:rsidRPr="004E7B57">
        <w:rPr>
          <w:lang w:val="en-US"/>
        </w:rPr>
        <w:t>MW</w:t>
      </w:r>
      <w:r w:rsidR="00856EDC" w:rsidRPr="004E7B57">
        <w:t>).</w:t>
      </w:r>
    </w:p>
    <w:p w14:paraId="15A16813" w14:textId="25747FDE" w:rsidR="000546D5" w:rsidRPr="004E7B57" w:rsidRDefault="003F6B7D" w:rsidP="002566EC">
      <w:pPr>
        <w:ind w:left="426"/>
      </w:pPr>
      <w:r w:rsidRPr="004E7B57">
        <w:rPr>
          <w:b/>
        </w:rPr>
        <w:t>3</w:t>
      </w:r>
      <w:r w:rsidR="00856EDC" w:rsidRPr="004E7B57">
        <w:rPr>
          <w:b/>
        </w:rPr>
        <w:t xml:space="preserve">. Περιεχόμενο και </w:t>
      </w:r>
      <w:r w:rsidRPr="004E7B57">
        <w:rPr>
          <w:b/>
        </w:rPr>
        <w:t>δ</w:t>
      </w:r>
      <w:r w:rsidR="00856EDC" w:rsidRPr="004E7B57">
        <w:rPr>
          <w:b/>
        </w:rPr>
        <w:t>ιάρκεια ισχύος</w:t>
      </w:r>
      <w:r w:rsidR="00856EDC" w:rsidRPr="004E7B57">
        <w:t xml:space="preserve">: Η </w:t>
      </w:r>
      <w:r w:rsidR="006C3E9D" w:rsidRPr="004E7B57">
        <w:t>Ε</w:t>
      </w:r>
      <w:r w:rsidR="00856EDC" w:rsidRPr="004E7B57">
        <w:t xml:space="preserve">γγυητική </w:t>
      </w:r>
      <w:r w:rsidR="006C3E9D" w:rsidRPr="004E7B57">
        <w:t>Ε</w:t>
      </w:r>
      <w:r w:rsidR="00856EDC" w:rsidRPr="004E7B57">
        <w:t xml:space="preserve">πιστολή </w:t>
      </w:r>
      <w:r w:rsidR="006C3E9D" w:rsidRPr="004E7B57">
        <w:t xml:space="preserve">Συμμετοχής </w:t>
      </w:r>
      <w:r w:rsidR="00856EDC" w:rsidRPr="004E7B57">
        <w:t xml:space="preserve">συντάσσεται, σύμφωνα με το </w:t>
      </w:r>
      <w:r w:rsidR="00856EDC" w:rsidRPr="008A16CF">
        <w:t>Παράρτημα Δ της</w:t>
      </w:r>
      <w:r w:rsidR="00856EDC" w:rsidRPr="004E7B57">
        <w:t xml:space="preserve"> παρούσας Προκήρυξης και έχει διάρκεια ισχύος τουλάχιστον </w:t>
      </w:r>
      <w:r w:rsidR="00856EDC" w:rsidRPr="004E7B57">
        <w:lastRenderedPageBreak/>
        <w:t xml:space="preserve">δώδεκα (12) μηνών από την ημερομηνία έκδοσής </w:t>
      </w:r>
      <w:r w:rsidR="00C1644C" w:rsidRPr="004E7B57">
        <w:t>της,</w:t>
      </w:r>
      <w:r w:rsidR="00856EDC" w:rsidRPr="004E7B57">
        <w:t xml:space="preserve"> η οποία παρατείνεται σε περίπτωση δικαστικής αναστολής για όσο διάστημα διαρκεί η αναστολή.</w:t>
      </w:r>
    </w:p>
    <w:p w14:paraId="3EDC36F1" w14:textId="5EFE66FD" w:rsidR="000546D5" w:rsidRPr="004E7B57" w:rsidRDefault="003F6B7D" w:rsidP="002566EC">
      <w:pPr>
        <w:ind w:left="426"/>
      </w:pPr>
      <w:r w:rsidRPr="004E7B57">
        <w:rPr>
          <w:b/>
        </w:rPr>
        <w:t>4</w:t>
      </w:r>
      <w:r w:rsidR="00856EDC" w:rsidRPr="004E7B57">
        <w:rPr>
          <w:b/>
        </w:rPr>
        <w:t>. Έκδοση</w:t>
      </w:r>
      <w:r w:rsidR="00856EDC" w:rsidRPr="004E7B57">
        <w:t>: Η Εγγυητική Επιστολή Συμμετοχής εκδίδεται από πιστωτικά ή χρηματοδοτικά ιδρύματα ή ασφαλιστικές επιχειρήσεις κατά την έννοια των περιπτώσεων β’ και γ’ της παρ. 1 του άρθρου 14 του ν. 4364/ 2016 (Α’ 13/05.02.2016), που λειτουργούν νόμιμα στην Ελλάδα ή σε άλλα</w:t>
      </w:r>
      <w:r w:rsidR="00817B89" w:rsidRPr="004E7B57">
        <w:t xml:space="preserve"> </w:t>
      </w:r>
      <w:r w:rsidR="00856EDC" w:rsidRPr="004E7B57">
        <w:t xml:space="preserve">Κράτη - Μέλη της Ευρωπαϊκής Ένωσης ή του Ευρωπαϊκού Οικονομικού Χώρου, τα οποία με βάση το «κοινοτικό διαβατήριο» παρέχουν τις υπηρεσίες της παρ. 1 του άρθρου 11 του ν. 4261/2014 (Α’ 107) και έχουν, σύμφωνα με τις ισχύουσες διατάξεις, το δικαίωμα αυτό. Μπορεί, επίσης, να εκδίδεται από το Ταμείο Μηχανικών Εργοληπτών Δημοσίων Έργων (τ. Ε.Τ.Α.Α. - Τ.Σ.Μ.Ε.Δ.Ε.) ή να παρέχεται με γραμμάτιο του Ταμείου Παρακαταθηκών και Δανείων με παρακατάθεση σε αυτό του αντίστοιχου χρηματικού ποσού. Εγγυήσεις που εκδίδονται σε κράτος εκτός της Ελλάδος, συνοδεύονται υποχρεωτικά, και με ποινή αποκλεισμού, από επίσημη και επικυρωμένη μετάφρασή τους στην ελληνική γλώσσα κατ’ αντιστοιχία του κειμένου της με το </w:t>
      </w:r>
      <w:r w:rsidR="00856EDC" w:rsidRPr="008A16CF">
        <w:t>Παράρτημα Δ.</w:t>
      </w:r>
    </w:p>
    <w:p w14:paraId="166ABD86" w14:textId="015A337B" w:rsidR="005E29B6" w:rsidRPr="005E29B6" w:rsidRDefault="003F6B7D" w:rsidP="005E29B6">
      <w:pPr>
        <w:ind w:left="426"/>
      </w:pPr>
      <w:r w:rsidRPr="004E7B57">
        <w:rPr>
          <w:b/>
        </w:rPr>
        <w:t>5</w:t>
      </w:r>
      <w:r w:rsidR="00856EDC" w:rsidRPr="004E7B57">
        <w:rPr>
          <w:b/>
        </w:rPr>
        <w:t>. Κατάπτωση</w:t>
      </w:r>
      <w:r w:rsidR="00856EDC" w:rsidRPr="004E7B57">
        <w:t xml:space="preserve">: Η Εγγυητική Επιστολή Συμμετοχής καταπίπτει </w:t>
      </w:r>
      <w:r w:rsidR="00C1644C" w:rsidRPr="004E7B57">
        <w:t xml:space="preserve">υπέρ της </w:t>
      </w:r>
      <w:r w:rsidR="00CF21E9" w:rsidRPr="004E7B57">
        <w:t>Ρ.Α.Α.Ε.Υ.</w:t>
      </w:r>
      <w:r w:rsidR="00C1644C" w:rsidRPr="004E7B57">
        <w:t xml:space="preserve"> </w:t>
      </w:r>
      <w:r w:rsidR="00856EDC" w:rsidRPr="004E7B57">
        <w:t xml:space="preserve">σε περίπτωση που ο Επιλεγείς Συμμετέχων δεν προσκομίσει </w:t>
      </w:r>
      <w:r w:rsidR="00A1529A" w:rsidRPr="004E7B57">
        <w:t xml:space="preserve">εντός αποκλειστικής προθεσμίας τριών (3) μηνών από την ανακοίνωση των οριστικών αποτελεσμάτων της Ανταγωνιστικής Διαδικασίας </w:t>
      </w:r>
      <w:r w:rsidR="00856EDC" w:rsidRPr="004E7B57">
        <w:t xml:space="preserve">την Εγγυητική Επιστολή </w:t>
      </w:r>
      <w:r w:rsidR="0026596F" w:rsidRPr="004E7B57">
        <w:t>Έντεχνης και Έγκαιρης</w:t>
      </w:r>
      <w:r w:rsidR="00856EDC" w:rsidRPr="004E7B57">
        <w:t xml:space="preserve"> </w:t>
      </w:r>
      <w:r w:rsidR="00AD22DD" w:rsidRPr="004E7B57">
        <w:t>Εκτέλεσης</w:t>
      </w:r>
      <w:r w:rsidR="005E29B6">
        <w:t xml:space="preserve">, </w:t>
      </w:r>
      <w:r w:rsidR="005E29B6" w:rsidRPr="005E29B6">
        <w:t>καθώς και σε περίπτωση υποβολής ψευδών δηλώσεων ή / και πλαστών / νοθευμένων εγγράφων στο πλαίσιο υποβολής της Αίτησης – Συμμετοχής και των Δικαιολογητικών Συμμετοχής.</w:t>
      </w:r>
    </w:p>
    <w:p w14:paraId="7811FD7B" w14:textId="60B230ED" w:rsidR="000546D5" w:rsidRPr="004E7B57" w:rsidRDefault="003F6B7D" w:rsidP="002566EC">
      <w:pPr>
        <w:ind w:left="426"/>
      </w:pPr>
      <w:r w:rsidRPr="004E7B57">
        <w:rPr>
          <w:b/>
        </w:rPr>
        <w:t>6</w:t>
      </w:r>
      <w:r w:rsidR="00856EDC" w:rsidRPr="004E7B57">
        <w:rPr>
          <w:b/>
        </w:rPr>
        <w:t>. Επιστροφή</w:t>
      </w:r>
      <w:r w:rsidR="00856EDC" w:rsidRPr="004E7B57">
        <w:t>: Οι Εγγυητικές Επιστολές Συμμετοχής των Συμμετεχόντων επιστρέφονται:</w:t>
      </w:r>
    </w:p>
    <w:p w14:paraId="653658A2" w14:textId="47DEE777" w:rsidR="000546D5" w:rsidRPr="004E7B57" w:rsidRDefault="003F6B7D" w:rsidP="002566EC">
      <w:pPr>
        <w:ind w:left="426"/>
      </w:pPr>
      <w:r w:rsidRPr="004E7B57">
        <w:rPr>
          <w:b/>
          <w:bCs/>
        </w:rPr>
        <w:t>(α)</w:t>
      </w:r>
      <w:r w:rsidRPr="004E7B57">
        <w:t xml:space="preserve"> </w:t>
      </w:r>
      <w:r w:rsidR="00337D03" w:rsidRPr="004E7B57">
        <w:t>Σ</w:t>
      </w:r>
      <w:r w:rsidR="00856EDC" w:rsidRPr="004E7B57">
        <w:t xml:space="preserve">τους Αποκλεισθέντες Συμμετέχοντες, μετά την έκδοση της απόφασης της </w:t>
      </w:r>
      <w:r w:rsidR="00CF21E9" w:rsidRPr="004E7B57">
        <w:t>Ρ.Α.Α.Ε.Υ.</w:t>
      </w:r>
      <w:r w:rsidR="00856EDC" w:rsidRPr="004E7B57">
        <w:t xml:space="preserve"> επί των οριστικών αποτελεσμάτων της Ανταγωνιστικής Διαδικασίας, σύμφωνα με το </w:t>
      </w:r>
      <w:r w:rsidR="00856EDC" w:rsidRPr="008A16CF">
        <w:t xml:space="preserve">άρθρο </w:t>
      </w:r>
      <w:r w:rsidR="00AA26AA" w:rsidRPr="008A16CF">
        <w:t>12</w:t>
      </w:r>
      <w:r w:rsidR="003803D4" w:rsidRPr="008A16CF">
        <w:t xml:space="preserve">, </w:t>
      </w:r>
      <w:r w:rsidR="003803D4" w:rsidRPr="003F0DAE">
        <w:t>κατόπιν εγγράφου αιτήματος προς τη Ρ.Α.Α.Ε.Υ</w:t>
      </w:r>
      <w:r w:rsidR="00337D03" w:rsidRPr="003803D4">
        <w:t>.</w:t>
      </w:r>
    </w:p>
    <w:p w14:paraId="70F32FEA" w14:textId="553773B4" w:rsidR="000546D5" w:rsidRPr="004E7B57" w:rsidRDefault="003F6B7D" w:rsidP="002566EC">
      <w:pPr>
        <w:ind w:left="426"/>
      </w:pPr>
      <w:r w:rsidRPr="004E7B57">
        <w:rPr>
          <w:b/>
          <w:bCs/>
        </w:rPr>
        <w:t>(β)</w:t>
      </w:r>
      <w:r w:rsidRPr="004E7B57">
        <w:t xml:space="preserve"> </w:t>
      </w:r>
      <w:r w:rsidR="00856EDC" w:rsidRPr="004E7B57">
        <w:t>Στο</w:t>
      </w:r>
      <w:r w:rsidR="00EA1B4D" w:rsidRPr="004E7B57">
        <w:t>υς</w:t>
      </w:r>
      <w:r w:rsidR="00856EDC" w:rsidRPr="004E7B57">
        <w:t xml:space="preserve"> Επιλεγέντ</w:t>
      </w:r>
      <w:r w:rsidR="00EA1B4D" w:rsidRPr="004E7B57">
        <w:t>ες</w:t>
      </w:r>
      <w:r w:rsidR="00856EDC" w:rsidRPr="004E7B57">
        <w:t xml:space="preserve"> Συμμετέχοντ</w:t>
      </w:r>
      <w:r w:rsidR="00EA1B4D" w:rsidRPr="004E7B57">
        <w:t>ες</w:t>
      </w:r>
      <w:r w:rsidR="00856EDC" w:rsidRPr="004E7B57">
        <w:t xml:space="preserve"> μετά την κατάθεση της Εγγυητικής Επιστολής </w:t>
      </w:r>
      <w:r w:rsidR="0026596F" w:rsidRPr="004E7B57">
        <w:t>Έντεχνης και Έγκαιρης</w:t>
      </w:r>
      <w:r w:rsidR="00856EDC" w:rsidRPr="004E7B57">
        <w:t xml:space="preserve"> </w:t>
      </w:r>
      <w:r w:rsidR="00AD22DD" w:rsidRPr="004E7B57">
        <w:t>Εκτέλεσης</w:t>
      </w:r>
      <w:r w:rsidR="00856EDC" w:rsidRPr="004E7B57">
        <w:t xml:space="preserve"> κατά τα οριζόμενα στην παρ</w:t>
      </w:r>
      <w:r w:rsidR="00337D03" w:rsidRPr="004E7B57">
        <w:t xml:space="preserve">. </w:t>
      </w:r>
      <w:r w:rsidR="00337D03" w:rsidRPr="000A1BD8">
        <w:t>11.</w:t>
      </w:r>
      <w:r w:rsidR="00033393" w:rsidRPr="000A1BD8">
        <w:t>3</w:t>
      </w:r>
      <w:r w:rsidR="00337D03" w:rsidRPr="000A1BD8">
        <w:t>.2</w:t>
      </w:r>
      <w:r w:rsidR="00856EDC" w:rsidRPr="000A1BD8">
        <w:t>.</w:t>
      </w:r>
    </w:p>
    <w:p w14:paraId="4064766F" w14:textId="6DBC1C63" w:rsidR="00535194" w:rsidRPr="004E7B57" w:rsidRDefault="00535194" w:rsidP="002566EC">
      <w:pPr>
        <w:ind w:left="426"/>
      </w:pPr>
      <w:r w:rsidRPr="004E7B57">
        <w:rPr>
          <w:b/>
          <w:bCs/>
        </w:rPr>
        <w:t xml:space="preserve">(γ) </w:t>
      </w:r>
      <w:r w:rsidRPr="004E7B57">
        <w:t xml:space="preserve">Στους Επιλαχόντες Συμμετέχοντες κατόπιν αιτήματός τους στη Ρ.Α.Ε.Ε.Υ. να </w:t>
      </w:r>
      <w:proofErr w:type="spellStart"/>
      <w:r w:rsidRPr="004E7B57">
        <w:t>απενταχθούν</w:t>
      </w:r>
      <w:proofErr w:type="spellEnd"/>
      <w:r w:rsidRPr="004E7B57">
        <w:t xml:space="preserve"> από τον κατάλογο επιλαχόντων και να τους επιστραφεί η Εγγυητική Επιστολή Συμμετοχής</w:t>
      </w:r>
      <w:r w:rsidR="003803D4">
        <w:t>.</w:t>
      </w:r>
    </w:p>
    <w:p w14:paraId="3C8227E2" w14:textId="4838A925" w:rsidR="000546D5" w:rsidRPr="004E7B57" w:rsidRDefault="003F6B7D" w:rsidP="002566EC">
      <w:pPr>
        <w:ind w:left="426"/>
      </w:pPr>
      <w:r w:rsidRPr="004E7B57">
        <w:rPr>
          <w:b/>
          <w:bCs/>
        </w:rPr>
        <w:t>(</w:t>
      </w:r>
      <w:r w:rsidR="00535194" w:rsidRPr="004E7B57">
        <w:rPr>
          <w:b/>
          <w:bCs/>
        </w:rPr>
        <w:t>δ</w:t>
      </w:r>
      <w:r w:rsidRPr="004E7B57">
        <w:rPr>
          <w:b/>
          <w:bCs/>
        </w:rPr>
        <w:t>)</w:t>
      </w:r>
      <w:r w:rsidRPr="004E7B57">
        <w:t xml:space="preserve"> </w:t>
      </w:r>
      <w:r w:rsidR="00856EDC" w:rsidRPr="004E7B57">
        <w:t>Στην περίπτωση ματαίωσης της Ανταγωνιστικής Διαδικασίας, σύμφωνα με τα οριζόμενα στ</w:t>
      </w:r>
      <w:r w:rsidR="00F2748D" w:rsidRPr="004E7B57">
        <w:t>α</w:t>
      </w:r>
      <w:r w:rsidR="00856EDC" w:rsidRPr="004E7B57">
        <w:t xml:space="preserve"> </w:t>
      </w:r>
      <w:r w:rsidR="00856EDC" w:rsidRPr="000A1BD8">
        <w:t>άρθρ</w:t>
      </w:r>
      <w:r w:rsidR="00F2748D" w:rsidRPr="000A1BD8">
        <w:t>α</w:t>
      </w:r>
      <w:r w:rsidR="00856EDC" w:rsidRPr="000A1BD8">
        <w:t xml:space="preserve"> </w:t>
      </w:r>
      <w:r w:rsidR="00F2748D" w:rsidRPr="000A1BD8">
        <w:t xml:space="preserve">7 και </w:t>
      </w:r>
      <w:r w:rsidR="00337D03" w:rsidRPr="000A1BD8">
        <w:t>1</w:t>
      </w:r>
      <w:r w:rsidR="00033393" w:rsidRPr="000A1BD8">
        <w:t>7</w:t>
      </w:r>
      <w:r w:rsidR="00F2748D" w:rsidRPr="004E7B57">
        <w:t xml:space="preserve"> </w:t>
      </w:r>
      <w:r w:rsidR="00856EDC" w:rsidRPr="004E7B57">
        <w:t>της Προκήρυξης.</w:t>
      </w:r>
    </w:p>
    <w:p w14:paraId="1A831DEB" w14:textId="74E220D0" w:rsidR="000546D5" w:rsidRDefault="00856EDC" w:rsidP="002566EC">
      <w:pPr>
        <w:ind w:left="426"/>
      </w:pPr>
      <w:r w:rsidRPr="004E7B57">
        <w:t xml:space="preserve">Σε περίπτωση αναβολής της διενέργειας της Ανταγωνιστικής Διαδικασίας, οι Εγγυητικές Επιστολές Συμμετοχής παραμένουν και ανανεώνονται μετά την υποβολή τους στη </w:t>
      </w:r>
      <w:r w:rsidR="00CF21E9" w:rsidRPr="004E7B57">
        <w:t>Ρ.Α.Α.Ε.Υ.</w:t>
      </w:r>
      <w:r w:rsidRPr="004E7B57">
        <w:t xml:space="preserve"> </w:t>
      </w:r>
      <w:r w:rsidR="006A185C" w:rsidRPr="004E7B57">
        <w:t xml:space="preserve">και πλέον της αρχικής τους διάρκειας, </w:t>
      </w:r>
      <w:r w:rsidRPr="004E7B57">
        <w:t xml:space="preserve">για όσο διάστημα απαιτείται για την επανάληψη / διενέργεια της </w:t>
      </w:r>
      <w:r w:rsidR="00792F7B">
        <w:t>Ανταγωνιστικής Διαδικασίας</w:t>
      </w:r>
      <w:r w:rsidRPr="004E7B57">
        <w:t xml:space="preserve"> και κατά μέγιστο χρόνο</w:t>
      </w:r>
      <w:r w:rsidR="006A185C" w:rsidRPr="004E7B57">
        <w:t xml:space="preserve"> έξι </w:t>
      </w:r>
      <w:r w:rsidR="003F6B7D" w:rsidRPr="004E7B57">
        <w:t xml:space="preserve"> </w:t>
      </w:r>
      <w:r w:rsidR="00A24007" w:rsidRPr="004E7B57">
        <w:t>(</w:t>
      </w:r>
      <w:r w:rsidR="006A185C" w:rsidRPr="004E7B57">
        <w:t>6</w:t>
      </w:r>
      <w:r w:rsidRPr="004E7B57">
        <w:t xml:space="preserve">) μηνών, μετά την πάροδο των οποίων, οι Εγγυητικές Επιστολές αυτές επιστρέφονται στους Συμμετέχοντες που το επιθυμούν, κατόπιν σχετικού </w:t>
      </w:r>
      <w:r w:rsidR="00A1529A" w:rsidRPr="004E7B57">
        <w:t xml:space="preserve">αιτήματός </w:t>
      </w:r>
      <w:r w:rsidRPr="004E7B57">
        <w:t>τους, οι οποίοι, εφόσον τις παραλάβουν, δεν θα δύνανται να συμμετέχουν στη συνέχιση της διαδικασίας.</w:t>
      </w:r>
    </w:p>
    <w:p w14:paraId="0F9547C9" w14:textId="77777777" w:rsidR="00033393" w:rsidRPr="004E7B57" w:rsidRDefault="00033393" w:rsidP="002566EC">
      <w:pPr>
        <w:ind w:left="426"/>
      </w:pPr>
    </w:p>
    <w:p w14:paraId="59AED1DD" w14:textId="4D62A0AA" w:rsidR="000546D5" w:rsidRPr="004E7B57" w:rsidRDefault="00387006" w:rsidP="002566EC">
      <w:r w:rsidRPr="004E7B57">
        <w:rPr>
          <w:b/>
          <w:bCs/>
        </w:rPr>
        <w:t>1</w:t>
      </w:r>
      <w:r w:rsidR="00337D03" w:rsidRPr="004E7B57">
        <w:rPr>
          <w:b/>
          <w:bCs/>
        </w:rPr>
        <w:t>1</w:t>
      </w:r>
      <w:r w:rsidRPr="004E7B57">
        <w:rPr>
          <w:b/>
          <w:bCs/>
        </w:rPr>
        <w:t>.</w:t>
      </w:r>
      <w:r w:rsidR="003803D4">
        <w:rPr>
          <w:b/>
          <w:bCs/>
        </w:rPr>
        <w:t>3</w:t>
      </w:r>
      <w:r w:rsidRPr="004E7B57">
        <w:rPr>
          <w:b/>
          <w:bCs/>
        </w:rPr>
        <w:t>.2.</w:t>
      </w:r>
      <w:r w:rsidRPr="004E7B57">
        <w:t xml:space="preserve"> </w:t>
      </w:r>
      <w:r w:rsidR="00337D03" w:rsidRPr="004E7B57">
        <w:rPr>
          <w:b/>
          <w:bCs/>
        </w:rPr>
        <w:t xml:space="preserve">Εγγυητική Επιστολή Έντεχνης και Έγκαιρης </w:t>
      </w:r>
      <w:r w:rsidR="00AD22DD" w:rsidRPr="004E7B57">
        <w:rPr>
          <w:b/>
          <w:bCs/>
        </w:rPr>
        <w:t>Εκτέλεσης</w:t>
      </w:r>
      <w:r w:rsidR="00856EDC" w:rsidRPr="004E7B57">
        <w:t xml:space="preserve">, η οποία εκδίδεται υπέρ του </w:t>
      </w:r>
      <w:r w:rsidR="00C1644C" w:rsidRPr="004E7B57">
        <w:t xml:space="preserve">Ελληνικού Δημοσίου </w:t>
      </w:r>
      <w:r w:rsidR="00856EDC" w:rsidRPr="004E7B57">
        <w:t xml:space="preserve">και καταπίπτει υπέρ του </w:t>
      </w:r>
      <w:r w:rsidR="00C1644C" w:rsidRPr="004E7B57">
        <w:t xml:space="preserve">Ελληνικού Δημοσίου </w:t>
      </w:r>
      <w:r w:rsidR="00856EDC" w:rsidRPr="004E7B57">
        <w:t xml:space="preserve">και η οποία κατατίθεται στη </w:t>
      </w:r>
      <w:r w:rsidR="00CF21E9" w:rsidRPr="004E7B57">
        <w:t>Ρ.Α.Α.Ε.Υ.</w:t>
      </w:r>
      <w:r w:rsidR="00856EDC" w:rsidRPr="004E7B57">
        <w:t xml:space="preserve"> από το</w:t>
      </w:r>
      <w:r w:rsidR="00865CF3" w:rsidRPr="004E7B57">
        <w:t>υς</w:t>
      </w:r>
      <w:r w:rsidR="00856EDC" w:rsidRPr="004E7B57">
        <w:t xml:space="preserve"> Επιλεγέντ</w:t>
      </w:r>
      <w:r w:rsidR="00865CF3" w:rsidRPr="004E7B57">
        <w:t>ες</w:t>
      </w:r>
      <w:r w:rsidR="00856EDC" w:rsidRPr="004E7B57">
        <w:t xml:space="preserve"> </w:t>
      </w:r>
      <w:r w:rsidR="00B51069" w:rsidRPr="004E7B57">
        <w:t>Σ</w:t>
      </w:r>
      <w:r w:rsidR="00856EDC" w:rsidRPr="004E7B57">
        <w:t>υμμετέχοντ</w:t>
      </w:r>
      <w:r w:rsidR="00865CF3" w:rsidRPr="004E7B57">
        <w:t>ες</w:t>
      </w:r>
      <w:r w:rsidR="00856EDC" w:rsidRPr="004E7B57">
        <w:t xml:space="preserve">, με σκοπό την εξασφάλιση ιδίως της εμπρόθεσμης και άρτιας υλοποίησης του </w:t>
      </w:r>
      <w:r w:rsidR="00EC4B0B" w:rsidRPr="004E7B57">
        <w:t>Σ.Α.Η.Ε.</w:t>
      </w:r>
      <w:r w:rsidR="00856EDC" w:rsidRPr="004E7B57">
        <w:t>, σύμφωνα με τα οριζόμενα στην παρούσα Προκήρυξη και στ</w:t>
      </w:r>
      <w:r w:rsidR="00865CF3" w:rsidRPr="004E7B57">
        <w:t>ην Υπουργική Απόφαση</w:t>
      </w:r>
      <w:r w:rsidR="00856EDC" w:rsidRPr="004E7B57">
        <w:t>.</w:t>
      </w:r>
    </w:p>
    <w:p w14:paraId="22B5F16A" w14:textId="173EFAB1" w:rsidR="000546D5" w:rsidRPr="009B5ABA" w:rsidRDefault="003F6B7D" w:rsidP="000A1BD8">
      <w:pPr>
        <w:ind w:left="426"/>
        <w:rPr>
          <w:b/>
          <w:bCs/>
        </w:rPr>
      </w:pPr>
      <w:r w:rsidRPr="009B5ABA">
        <w:rPr>
          <w:b/>
          <w:bCs/>
        </w:rPr>
        <w:t>1</w:t>
      </w:r>
      <w:r w:rsidR="00856EDC" w:rsidRPr="009B5ABA">
        <w:rPr>
          <w:b/>
          <w:bCs/>
        </w:rPr>
        <w:t>. Κατάθεση:</w:t>
      </w:r>
    </w:p>
    <w:p w14:paraId="38FB3917" w14:textId="19A13563" w:rsidR="000546D5" w:rsidRDefault="00856EDC" w:rsidP="000A1BD8">
      <w:pPr>
        <w:ind w:left="426"/>
      </w:pPr>
      <w:r w:rsidRPr="004E7B57">
        <w:rPr>
          <w:b/>
        </w:rPr>
        <w:t xml:space="preserve">(α) </w:t>
      </w:r>
      <w:r w:rsidRPr="004E7B57">
        <w:t xml:space="preserve">Η </w:t>
      </w:r>
      <w:r w:rsidR="00337D03" w:rsidRPr="004E7B57">
        <w:t xml:space="preserve">Εγγυητική Επιστολή Έντεχνης και Έγκαιρης </w:t>
      </w:r>
      <w:r w:rsidR="00AD22DD" w:rsidRPr="004E7B57">
        <w:t>Εκτέλεσης</w:t>
      </w:r>
      <w:r w:rsidRPr="004E7B57">
        <w:t xml:space="preserve">, κατατίθεται εντός αποκλειστικής προθεσμίας </w:t>
      </w:r>
      <w:r w:rsidR="00930340" w:rsidRPr="004E7B57">
        <w:t xml:space="preserve">τριών (3) </w:t>
      </w:r>
      <w:r w:rsidRPr="004E7B57">
        <w:t>μην</w:t>
      </w:r>
      <w:r w:rsidR="00930340" w:rsidRPr="004E7B57">
        <w:t xml:space="preserve">ών </w:t>
      </w:r>
      <w:r w:rsidRPr="004E7B57">
        <w:t xml:space="preserve">από την </w:t>
      </w:r>
      <w:r w:rsidR="00930340" w:rsidRPr="004E7B57">
        <w:t xml:space="preserve">έκδοση του </w:t>
      </w:r>
      <w:r w:rsidR="003803D4">
        <w:t>Ο</w:t>
      </w:r>
      <w:r w:rsidR="003803D4" w:rsidRPr="004E7B57">
        <w:t xml:space="preserve">ριστικού </w:t>
      </w:r>
      <w:r w:rsidR="00930340" w:rsidRPr="004E7B57">
        <w:t>Καταλόγου Επιλεγέντων, Αποκλει</w:t>
      </w:r>
      <w:r w:rsidR="00A1529A" w:rsidRPr="004E7B57">
        <w:t>σ</w:t>
      </w:r>
      <w:r w:rsidR="00930340" w:rsidRPr="004E7B57">
        <w:t>θέντων και Επιλαχόντων Συμμετεχόντων</w:t>
      </w:r>
      <w:r w:rsidRPr="004E7B57">
        <w:t xml:space="preserve">, σύμφωνα με το </w:t>
      </w:r>
      <w:r w:rsidRPr="000A1BD8">
        <w:t>άρθρο</w:t>
      </w:r>
      <w:r w:rsidR="001F38DA" w:rsidRPr="000A1BD8">
        <w:t xml:space="preserve"> </w:t>
      </w:r>
      <w:r w:rsidR="003803D4" w:rsidRPr="000A1BD8">
        <w:t>12</w:t>
      </w:r>
      <w:r w:rsidR="001F38DA" w:rsidRPr="000A1BD8">
        <w:t>.</w:t>
      </w:r>
    </w:p>
    <w:p w14:paraId="61502D2D" w14:textId="77777777" w:rsidR="00A07986" w:rsidRPr="004E7B57" w:rsidRDefault="00A07986" w:rsidP="000A1BD8">
      <w:pPr>
        <w:ind w:left="426"/>
      </w:pPr>
    </w:p>
    <w:p w14:paraId="14FF167B" w14:textId="13F53427" w:rsidR="000546D5" w:rsidRPr="002566EC" w:rsidRDefault="003F6B7D" w:rsidP="000A1BD8">
      <w:pPr>
        <w:ind w:left="426"/>
        <w:rPr>
          <w:b/>
          <w:bCs/>
        </w:rPr>
      </w:pPr>
      <w:r w:rsidRPr="002566EC">
        <w:rPr>
          <w:b/>
          <w:bCs/>
        </w:rPr>
        <w:lastRenderedPageBreak/>
        <w:t>2</w:t>
      </w:r>
      <w:r w:rsidR="00856EDC" w:rsidRPr="002566EC">
        <w:rPr>
          <w:b/>
          <w:bCs/>
        </w:rPr>
        <w:t>. Ποσό:</w:t>
      </w:r>
    </w:p>
    <w:p w14:paraId="11672349" w14:textId="228F55A0" w:rsidR="003801BC" w:rsidRPr="004E7B57" w:rsidRDefault="00856EDC" w:rsidP="000A1BD8">
      <w:pPr>
        <w:ind w:left="426"/>
      </w:pPr>
      <w:r w:rsidRPr="004E7B57">
        <w:rPr>
          <w:b/>
        </w:rPr>
        <w:t xml:space="preserve">(α) </w:t>
      </w:r>
      <w:r w:rsidRPr="004E7B57">
        <w:t xml:space="preserve">Η </w:t>
      </w:r>
      <w:r w:rsidR="00337D03" w:rsidRPr="004E7B57">
        <w:t xml:space="preserve">Εγγυητική Επιστολή Έντεχνης και Έγκαιρης </w:t>
      </w:r>
      <w:r w:rsidR="00AD22DD" w:rsidRPr="004E7B57">
        <w:t>Εκτέλεσης</w:t>
      </w:r>
      <w:r w:rsidRPr="004E7B57">
        <w:t xml:space="preserve"> ανέρχεται στο ποσό των</w:t>
      </w:r>
      <w:r w:rsidR="003C61F7" w:rsidRPr="004E7B57">
        <w:t xml:space="preserve"> </w:t>
      </w:r>
      <w:r w:rsidR="00F2748D" w:rsidRPr="004E7B57">
        <w:t xml:space="preserve">διακοσίων πενήντα </w:t>
      </w:r>
      <w:r w:rsidRPr="004E7B57">
        <w:t xml:space="preserve">χιλιάδων ευρώ </w:t>
      </w:r>
      <w:r w:rsidR="00F2748D" w:rsidRPr="004E7B57">
        <w:t xml:space="preserve">ανά </w:t>
      </w:r>
      <w:r w:rsidR="00F2748D" w:rsidRPr="004E7B57">
        <w:rPr>
          <w:lang w:val="en-US"/>
        </w:rPr>
        <w:t>MW</w:t>
      </w:r>
      <w:r w:rsidR="00F2748D" w:rsidRPr="004E7B57">
        <w:t xml:space="preserve"> μέγιστης εγχεόμενης ισχύος </w:t>
      </w:r>
      <w:r w:rsidRPr="004E7B57">
        <w:rPr>
          <w:b/>
        </w:rPr>
        <w:t xml:space="preserve">(€ </w:t>
      </w:r>
      <w:r w:rsidR="00F2748D" w:rsidRPr="004E7B57">
        <w:rPr>
          <w:b/>
        </w:rPr>
        <w:t>250.</w:t>
      </w:r>
      <w:r w:rsidRPr="004E7B57">
        <w:rPr>
          <w:b/>
        </w:rPr>
        <w:t>000,00</w:t>
      </w:r>
      <w:r w:rsidR="00F2748D" w:rsidRPr="004E7B57">
        <w:rPr>
          <w:b/>
        </w:rPr>
        <w:t>/</w:t>
      </w:r>
      <w:r w:rsidR="00F2748D" w:rsidRPr="004E7B57">
        <w:rPr>
          <w:b/>
          <w:lang w:val="en-US"/>
        </w:rPr>
        <w:t>MW</w:t>
      </w:r>
      <w:r w:rsidRPr="004E7B57">
        <w:t>)</w:t>
      </w:r>
      <w:r w:rsidR="00E4548D" w:rsidRPr="004E7B57">
        <w:t xml:space="preserve"> και</w:t>
      </w:r>
      <w:r w:rsidR="00930340" w:rsidRPr="004E7B57">
        <w:t xml:space="preserve"> </w:t>
      </w:r>
      <w:r w:rsidR="00E4548D" w:rsidRPr="004E7B57">
        <w:t>αποτελεί προϋπόθεση για την ένταξη των Σ.Α.Η.Ε. στο σχήμα ενίσχυσης. Το απαιτούμενο ύψος της Εγγυητικής Επιστολής Έντεχνης και Έγκαιρης Εκτέλεσης είναι τέτοιο ώστε η εγγυητική αυτή επιστολή, μόνη ή αθροιστικά με την πρόσθετη εγγυητική επιστολή που τυχόν απαιτείται για την καταβολής της επενδυτικής ενίσχυσης και προσδιορίζεται από την απόφαση της παρ. 2Γ του άρθρου 143ΣΤ του ν. 4001/2011, να υπερκαλύπτει το ποσό της επενδυτικής ενίσχυσης κατά ποσοστό που δεν υπολείπεται του 25%. Με την προσκόμιση της πρόσθετης αυτής εγγυητικής επιστολής είναι δυνατή</w:t>
      </w:r>
      <w:r w:rsidR="00792F7B">
        <w:t xml:space="preserve"> </w:t>
      </w:r>
      <w:r w:rsidR="00E4548D" w:rsidRPr="004E7B57">
        <w:t xml:space="preserve">η </w:t>
      </w:r>
      <w:proofErr w:type="spellStart"/>
      <w:r w:rsidR="00E4548D" w:rsidRPr="004E7B57">
        <w:t>απομείωση</w:t>
      </w:r>
      <w:proofErr w:type="spellEnd"/>
      <w:r w:rsidR="00E4548D" w:rsidRPr="004E7B57">
        <w:t xml:space="preserve"> της Εγγυητικής Επιστολής Έντεχνης και Έγκαιρης Εκτέλεσης</w:t>
      </w:r>
      <w:r w:rsidR="00033393">
        <w:t>,</w:t>
      </w:r>
      <w:r w:rsidR="00E4548D" w:rsidRPr="004E7B57">
        <w:t xml:space="preserve"> ώστε αθροιστικά οι δύο εγγυητικές επιστολές να ικανοποιούν την απαίτηση του προηγουμένου εδαφίου.</w:t>
      </w:r>
      <w:r w:rsidR="00295C17" w:rsidRPr="004E7B57">
        <w:t xml:space="preserve"> Για την επιστροφή της Εγγυητικής Επιστολής Έντεχνης και Έγκαιρης Εκτέλεσης και την κατάθεση νέας (</w:t>
      </w:r>
      <w:proofErr w:type="spellStart"/>
      <w:r w:rsidR="00295C17" w:rsidRPr="004E7B57">
        <w:t>απομειωμένης</w:t>
      </w:r>
      <w:proofErr w:type="spellEnd"/>
      <w:r w:rsidR="00295C17" w:rsidRPr="004E7B57">
        <w:t>) Εγγυητικής Επιστολής Έντεχνης και Έγκαιρης Εκτέλεσης</w:t>
      </w:r>
      <w:r w:rsidR="00033393">
        <w:t xml:space="preserve"> </w:t>
      </w:r>
      <w:r w:rsidR="00295C17" w:rsidRPr="004E7B57">
        <w:t>ο Επιλεγείς Συμμετέχων υποβάλει σχετικό αίτημα στη Ρ.Α.Α.Ε.Υ.</w:t>
      </w:r>
    </w:p>
    <w:p w14:paraId="4A659C76" w14:textId="5BE1FC0D" w:rsidR="007F0D69" w:rsidRPr="008F67BA" w:rsidRDefault="00856EDC" w:rsidP="000A1BD8">
      <w:pPr>
        <w:ind w:left="426"/>
      </w:pPr>
      <w:r w:rsidRPr="004E7B57">
        <w:rPr>
          <w:b/>
        </w:rPr>
        <w:t xml:space="preserve">(β) </w:t>
      </w:r>
      <w:bookmarkStart w:id="15" w:name="_Hlk134811544"/>
      <w:r w:rsidR="00BD3584" w:rsidRPr="004E7B57">
        <w:t xml:space="preserve">Με την επιφύλαξη των κυρώσεων του παρόντος και του </w:t>
      </w:r>
      <w:r w:rsidR="00BD3584" w:rsidRPr="00AD2DB3">
        <w:t>άρθρου 1</w:t>
      </w:r>
      <w:r w:rsidR="00BD3584" w:rsidRPr="005B09DD">
        <w:t>6</w:t>
      </w:r>
      <w:bookmarkEnd w:id="15"/>
      <w:r w:rsidR="00BD3584" w:rsidRPr="005B09DD">
        <w:t>,</w:t>
      </w:r>
      <w:r w:rsidR="00BD3584" w:rsidRPr="004E7B57">
        <w:t xml:space="preserve"> τ</w:t>
      </w:r>
      <w:r w:rsidR="00793AA2" w:rsidRPr="004E7B57">
        <w:t>ο ποσό της</w:t>
      </w:r>
      <w:r w:rsidR="00793AA2" w:rsidRPr="004E7B57">
        <w:rPr>
          <w:b/>
        </w:rPr>
        <w:t xml:space="preserve"> </w:t>
      </w:r>
      <w:r w:rsidR="00793AA2" w:rsidRPr="004E7B57">
        <w:t xml:space="preserve"> </w:t>
      </w:r>
      <w:r w:rsidR="00337D03" w:rsidRPr="004E7B57">
        <w:t>Εγγυητική</w:t>
      </w:r>
      <w:r w:rsidR="00793AA2" w:rsidRPr="004E7B57">
        <w:t>ς</w:t>
      </w:r>
      <w:r w:rsidR="00337D03" w:rsidRPr="004E7B57">
        <w:t xml:space="preserve"> Επιστολή</w:t>
      </w:r>
      <w:r w:rsidR="00793AA2" w:rsidRPr="004E7B57">
        <w:t>ς</w:t>
      </w:r>
      <w:r w:rsidR="00337D03" w:rsidRPr="004E7B57">
        <w:t xml:space="preserve"> Έντεχνης και Έγκαιρης </w:t>
      </w:r>
      <w:r w:rsidR="00AD22DD" w:rsidRPr="004E7B57">
        <w:t>Εκτέλεσης</w:t>
      </w:r>
      <w:r w:rsidR="00793AA2" w:rsidRPr="004E7B57">
        <w:t xml:space="preserve"> δύναται να </w:t>
      </w:r>
      <w:proofErr w:type="spellStart"/>
      <w:r w:rsidR="00793AA2" w:rsidRPr="004E7B57">
        <w:t>απομειωθεί</w:t>
      </w:r>
      <w:proofErr w:type="spellEnd"/>
      <w:r w:rsidR="00793AA2" w:rsidRPr="004E7B57">
        <w:t xml:space="preserve"> </w:t>
      </w:r>
      <w:r w:rsidR="00866C6B" w:rsidRPr="004E7B57">
        <w:t xml:space="preserve">κατά δεκαπέντε τοις εκατό (15%) του αρχικού ποσού </w:t>
      </w:r>
      <w:r w:rsidR="009315F1" w:rsidRPr="004E7B57">
        <w:t>για το υπόλοιπο της χρονικής της διάρκειας</w:t>
      </w:r>
      <w:r w:rsidR="00793AA2" w:rsidRPr="004E7B57">
        <w:t>, στην περίπτωση που ο Επιλεγείς Συμμετέχων υποβάλει στον Διαχειριστή του Ε.Σ.Μ.Η.Ε. αίτηση για την ενεργοποίηση της σύνδεση</w:t>
      </w:r>
      <w:r w:rsidR="007F0D69" w:rsidRPr="004E7B57">
        <w:t>ς</w:t>
      </w:r>
      <w:r w:rsidR="00793AA2" w:rsidRPr="004E7B57">
        <w:t xml:space="preserve"> του Σ.Α.Η.Ε. με το Σύστημα, κατά την παρ. 2 του άρθρου 27 του ν. 4951/2022 (Α’ 129), το αργότερο μέχρι και την </w:t>
      </w:r>
      <w:r w:rsidR="0086351F" w:rsidRPr="004E7B57">
        <w:t>3</w:t>
      </w:r>
      <w:r w:rsidR="004C1283" w:rsidRPr="004E7B57">
        <w:t>0</w:t>
      </w:r>
      <w:r w:rsidR="0086351F" w:rsidRPr="004E7B57">
        <w:rPr>
          <w:vertAlign w:val="superscript"/>
        </w:rPr>
        <w:t>η</w:t>
      </w:r>
      <w:r w:rsidR="0086351F" w:rsidRPr="004E7B57">
        <w:t xml:space="preserve"> </w:t>
      </w:r>
      <w:r w:rsidR="00866C6B" w:rsidRPr="004E7B57">
        <w:t>Ιου</w:t>
      </w:r>
      <w:r w:rsidR="004C1283" w:rsidRPr="004E7B57">
        <w:t>ν</w:t>
      </w:r>
      <w:r w:rsidR="00866C6B" w:rsidRPr="004E7B57">
        <w:t>ίου</w:t>
      </w:r>
      <w:r w:rsidR="0086351F" w:rsidRPr="004E7B57">
        <w:t xml:space="preserve"> </w:t>
      </w:r>
      <w:r w:rsidR="007F0D69" w:rsidRPr="004E7B57">
        <w:t xml:space="preserve">2025. Για την </w:t>
      </w:r>
      <w:r w:rsidR="009315F1" w:rsidRPr="004E7B57">
        <w:t>επιστροφή</w:t>
      </w:r>
      <w:r w:rsidR="007F0D69" w:rsidRPr="004E7B57">
        <w:t xml:space="preserve"> της Εγγυητικής Επιστολής Έντεχνης και Έγκαιρης Εκτέλεσης</w:t>
      </w:r>
      <w:r w:rsidR="009315F1" w:rsidRPr="004E7B57">
        <w:t xml:space="preserve"> και την κατάθεση νέας (</w:t>
      </w:r>
      <w:proofErr w:type="spellStart"/>
      <w:r w:rsidR="009315F1" w:rsidRPr="004E7B57">
        <w:t>απομειωμένης</w:t>
      </w:r>
      <w:proofErr w:type="spellEnd"/>
      <w:r w:rsidR="009315F1" w:rsidRPr="004E7B57">
        <w:t>) Εγγυητικής Επιστολής Έντεχνης και Έγκαιρης Εκτέλεσης</w:t>
      </w:r>
      <w:r w:rsidR="007F0D69" w:rsidRPr="004E7B57">
        <w:t>, ο Επιλεγείς Συμμετέχων υποβά</w:t>
      </w:r>
      <w:r w:rsidR="005C4D5B" w:rsidRPr="004E7B57">
        <w:t>λ</w:t>
      </w:r>
      <w:r w:rsidR="007F0D69" w:rsidRPr="004E7B57">
        <w:t xml:space="preserve">λει </w:t>
      </w:r>
      <w:r w:rsidR="00542CC9" w:rsidRPr="004E7B57">
        <w:t xml:space="preserve">σχετικό </w:t>
      </w:r>
      <w:r w:rsidR="007F0D69" w:rsidRPr="004E7B57">
        <w:t xml:space="preserve">αίτημα στη </w:t>
      </w:r>
      <w:r w:rsidR="00CF21E9" w:rsidRPr="004E7B57">
        <w:t>Ρ.Α.Α.Ε.Υ.</w:t>
      </w:r>
    </w:p>
    <w:p w14:paraId="004E0543" w14:textId="77777777" w:rsidR="00975DE5" w:rsidRPr="002566EC" w:rsidRDefault="003F6B7D" w:rsidP="000A1BD8">
      <w:pPr>
        <w:ind w:left="426"/>
        <w:rPr>
          <w:b/>
          <w:bCs/>
        </w:rPr>
      </w:pPr>
      <w:r w:rsidRPr="002566EC">
        <w:rPr>
          <w:b/>
          <w:bCs/>
        </w:rPr>
        <w:t>3</w:t>
      </w:r>
      <w:r w:rsidR="00856EDC" w:rsidRPr="002566EC">
        <w:rPr>
          <w:b/>
          <w:bCs/>
        </w:rPr>
        <w:t xml:space="preserve">. Περιεχόμενο και διάρκεια ισχύος: </w:t>
      </w:r>
    </w:p>
    <w:p w14:paraId="6A293344" w14:textId="686D425E" w:rsidR="000546D5" w:rsidRPr="004E7B57" w:rsidRDefault="00975DE5" w:rsidP="000A1BD8">
      <w:pPr>
        <w:ind w:left="426"/>
      </w:pPr>
      <w:r w:rsidRPr="004E7B57">
        <w:rPr>
          <w:b/>
        </w:rPr>
        <w:t xml:space="preserve">(α) </w:t>
      </w:r>
      <w:r w:rsidR="00856EDC" w:rsidRPr="004E7B57">
        <w:t xml:space="preserve">Η </w:t>
      </w:r>
      <w:r w:rsidR="00337D03" w:rsidRPr="004E7B57">
        <w:t xml:space="preserve">Εγγυητική Επιστολή Έντεχνης και Έγκαιρης </w:t>
      </w:r>
      <w:r w:rsidR="00AD22DD" w:rsidRPr="004E7B57">
        <w:t>Εκτέλεσης</w:t>
      </w:r>
      <w:r w:rsidR="00856EDC" w:rsidRPr="004E7B57">
        <w:t xml:space="preserve"> συντάσσεται σύμφωνα με το </w:t>
      </w:r>
      <w:r w:rsidR="00856EDC" w:rsidRPr="00AD2DB3">
        <w:t xml:space="preserve">Παράρτημα Ε </w:t>
      </w:r>
      <w:r w:rsidR="00C8640A" w:rsidRPr="00AD2DB3">
        <w:t xml:space="preserve"> (Υπόδειγμα </w:t>
      </w:r>
      <w:r w:rsidR="00353AF7" w:rsidRPr="00AD2DB3">
        <w:t>Ι</w:t>
      </w:r>
      <w:r w:rsidR="00C8640A" w:rsidRPr="00AD2DB3">
        <w:t>)</w:t>
      </w:r>
      <w:r w:rsidR="00C8640A" w:rsidRPr="004E7B57">
        <w:t xml:space="preserve"> </w:t>
      </w:r>
      <w:r w:rsidR="00856EDC" w:rsidRPr="004E7B57">
        <w:t>της παρούσας Προκήρυξης.</w:t>
      </w:r>
    </w:p>
    <w:p w14:paraId="33A56902" w14:textId="085BE05D" w:rsidR="000546D5" w:rsidRPr="004E7B57" w:rsidRDefault="00856EDC" w:rsidP="000A1BD8">
      <w:pPr>
        <w:ind w:left="426"/>
      </w:pPr>
      <w:r w:rsidRPr="004E7B57">
        <w:rPr>
          <w:b/>
        </w:rPr>
        <w:t>(</w:t>
      </w:r>
      <w:r w:rsidR="00975DE5" w:rsidRPr="004E7B57">
        <w:rPr>
          <w:b/>
        </w:rPr>
        <w:t>β</w:t>
      </w:r>
      <w:r w:rsidRPr="004E7B57">
        <w:rPr>
          <w:b/>
        </w:rPr>
        <w:t xml:space="preserve">) </w:t>
      </w:r>
      <w:r w:rsidRPr="004E7B57">
        <w:t xml:space="preserve">Η </w:t>
      </w:r>
      <w:r w:rsidR="00337D03" w:rsidRPr="004E7B57">
        <w:t xml:space="preserve">Εγγυητική Επιστολή Έντεχνης και Έγκαιρης </w:t>
      </w:r>
      <w:r w:rsidR="00AD22DD" w:rsidRPr="004E7B57">
        <w:t>Εκτέλεσης</w:t>
      </w:r>
      <w:r w:rsidRPr="004E7B57">
        <w:t xml:space="preserve"> έχει διάρκεια ισχύος </w:t>
      </w:r>
      <w:r w:rsidR="008F4D92" w:rsidRPr="004E7B57">
        <w:t>μέχρι την 31.</w:t>
      </w:r>
      <w:r w:rsidR="00AE0827">
        <w:t>01</w:t>
      </w:r>
      <w:r w:rsidR="008F4D92" w:rsidRPr="004E7B57">
        <w:t>.</w:t>
      </w:r>
      <w:r w:rsidR="00AE0827" w:rsidRPr="004E7B57">
        <w:t>202</w:t>
      </w:r>
      <w:r w:rsidR="00AE0827">
        <w:t>6</w:t>
      </w:r>
      <w:r w:rsidRPr="004E7B57">
        <w:t>.</w:t>
      </w:r>
    </w:p>
    <w:p w14:paraId="006C8537" w14:textId="1A63A298" w:rsidR="00BD3584" w:rsidRPr="004E7B57" w:rsidRDefault="00BD3584" w:rsidP="000A1BD8">
      <w:pPr>
        <w:ind w:left="426"/>
      </w:pPr>
      <w:r w:rsidRPr="004E7B57">
        <w:rPr>
          <w:b/>
        </w:rPr>
        <w:t xml:space="preserve">(γ) </w:t>
      </w:r>
      <w:r w:rsidRPr="004E7B57">
        <w:t>Σε περίπτωση αντικατάστασης, η νέα Εγγυητική Επιστολή Έντεχνης και Έγκαιρης Εκτέλεσης έχει διάρκεια ισχύος, ανεξαρτήτως της ημερομηνίας κατάθεσης, έως και την 3</w:t>
      </w:r>
      <w:r w:rsidR="00D70B2E" w:rsidRPr="004E7B57">
        <w:t>1.</w:t>
      </w:r>
      <w:r w:rsidR="00A42754">
        <w:t>01</w:t>
      </w:r>
      <w:r w:rsidR="00D70B2E" w:rsidRPr="004E7B57">
        <w:t>.2026</w:t>
      </w:r>
      <w:r w:rsidR="004C1283" w:rsidRPr="004E7B57">
        <w:t>.</w:t>
      </w:r>
    </w:p>
    <w:p w14:paraId="46AC509F" w14:textId="54E5F1B7" w:rsidR="000546D5" w:rsidRPr="004E7B57" w:rsidRDefault="003F6B7D" w:rsidP="000A1BD8">
      <w:pPr>
        <w:ind w:left="426"/>
      </w:pPr>
      <w:r w:rsidRPr="004E7B57">
        <w:rPr>
          <w:b/>
        </w:rPr>
        <w:t>4</w:t>
      </w:r>
      <w:r w:rsidR="00856EDC" w:rsidRPr="004E7B57">
        <w:rPr>
          <w:b/>
        </w:rPr>
        <w:t xml:space="preserve">. Έκδοση: </w:t>
      </w:r>
      <w:r w:rsidR="00856EDC" w:rsidRPr="004E7B57">
        <w:t xml:space="preserve">Η </w:t>
      </w:r>
      <w:r w:rsidR="00337D03" w:rsidRPr="004E7B57">
        <w:t xml:space="preserve">Εγγυητική Επιστολή Έντεχνης και Έγκαιρης </w:t>
      </w:r>
      <w:r w:rsidR="00AD22DD" w:rsidRPr="004E7B57">
        <w:t>Εκτέλεσης</w:t>
      </w:r>
      <w:r w:rsidR="00C87350" w:rsidRPr="004E7B57">
        <w:t xml:space="preserve"> </w:t>
      </w:r>
      <w:r w:rsidR="00856EDC" w:rsidRPr="004E7B57">
        <w:t xml:space="preserve">εκδίδεται από πιστωτικά ή χρηματοδοτικά ιδρύματα ή ασφαλιστικές επιχειρήσεις κατά την έννοια των περιπτώσεων β’ και γ’ της παρ. 1 του άρθρου 14 του ν. 4364/ 2016 (Α’ 13/05.02.2016), που λειτουργούν νόμιμα στην Ελλάδα ή σε άλλα Κράτη - Μέλη της Ευρωπαϊκής Ένωσης ή του Ευρωπαϊκού Οικονομικού Χώρου, τα οποία με βάση το «κοινοτικό διαβατήριο» παρέχουν τις υπηρεσίες της παρ. 1 του άρθρου 11 του ν. 4261/2014 (Α’ 107) και έχουν, σύμφωνα με τις ισχύουσες διατάξεις, το δικαίωμα αυτό. Μπορεί, επίσης, να εκδίδεται από το Ταμείο Μηχανικών Εργοληπτών Δημοσίων Έργων (τ. Ε.Τ.Α.Α. - Τ.Σ.Μ.Ε.Δ.Ε.) ή να παρέχεται με γραμμάτιο του Ταμείου Παρακαταθηκών και Δανείων με παρακατάθεση σε αυτό του αντίστοιχου χρηματικού ποσού. Εγγυήσεις που εκδίδονται σε κράτος εκτός της Ελλάδος, συνοδεύονται υποχρεωτικά, και με ποινή αποκλεισμού, από επίσημη και επικυρωμένη μετάφρασή τους στην ελληνική γλώσσα κατ’ αντιστοιχία του κειμένου της με το Παράρτημα </w:t>
      </w:r>
      <w:r w:rsidR="00856EDC" w:rsidRPr="00A42754">
        <w:t>Ε</w:t>
      </w:r>
      <w:r w:rsidR="00A42754">
        <w:t xml:space="preserve"> </w:t>
      </w:r>
      <w:r w:rsidR="00A42754" w:rsidRPr="003F0DAE">
        <w:t>(Υπόδειγμα Ι)</w:t>
      </w:r>
      <w:r w:rsidR="00856EDC" w:rsidRPr="00A42754">
        <w:t>.</w:t>
      </w:r>
    </w:p>
    <w:p w14:paraId="5B9DB9EE" w14:textId="413213E5" w:rsidR="000546D5" w:rsidRPr="002566EC" w:rsidRDefault="003F6B7D" w:rsidP="000A1BD8">
      <w:pPr>
        <w:ind w:left="426"/>
        <w:rPr>
          <w:b/>
          <w:bCs/>
        </w:rPr>
      </w:pPr>
      <w:r w:rsidRPr="002566EC">
        <w:rPr>
          <w:b/>
          <w:bCs/>
        </w:rPr>
        <w:t>5</w:t>
      </w:r>
      <w:r w:rsidR="00856EDC" w:rsidRPr="002566EC">
        <w:rPr>
          <w:b/>
          <w:bCs/>
        </w:rPr>
        <w:t>. Κατάπτωση:</w:t>
      </w:r>
    </w:p>
    <w:p w14:paraId="52759227" w14:textId="5D1CB3BF" w:rsidR="001B2075" w:rsidRPr="004E7B57" w:rsidRDefault="00856EDC" w:rsidP="000A1BD8">
      <w:pPr>
        <w:ind w:left="426"/>
      </w:pPr>
      <w:r w:rsidRPr="004E7B57">
        <w:t xml:space="preserve">Η </w:t>
      </w:r>
      <w:r w:rsidR="00337D03" w:rsidRPr="004E7B57">
        <w:t xml:space="preserve">Εγγυητική Επιστολή Έντεχνης και Έγκαιρης </w:t>
      </w:r>
      <w:r w:rsidR="00AD22DD" w:rsidRPr="004E7B57">
        <w:t>Εκτέλεσης</w:t>
      </w:r>
      <w:r w:rsidRPr="004E7B57">
        <w:t xml:space="preserve"> καταπίπτει</w:t>
      </w:r>
      <w:r w:rsidR="001B2075" w:rsidRPr="004E7B57">
        <w:t>:</w:t>
      </w:r>
    </w:p>
    <w:p w14:paraId="326CFFDE" w14:textId="54BEF9A6" w:rsidR="001B2075" w:rsidRPr="004E7B57" w:rsidRDefault="001B2075" w:rsidP="000A1BD8">
      <w:pPr>
        <w:ind w:left="426"/>
      </w:pPr>
      <w:r w:rsidRPr="004E7B57">
        <w:rPr>
          <w:b/>
        </w:rPr>
        <w:t xml:space="preserve">(α) </w:t>
      </w:r>
      <w:r w:rsidRPr="004E7B57">
        <w:t xml:space="preserve">πλήρως </w:t>
      </w:r>
      <w:r w:rsidR="00856EDC" w:rsidRPr="004E7B57">
        <w:t>σε περίπτωση που ο</w:t>
      </w:r>
      <w:r w:rsidR="001B0ECB" w:rsidRPr="004E7B57">
        <w:t>ι</w:t>
      </w:r>
      <w:r w:rsidR="00856EDC" w:rsidRPr="004E7B57">
        <w:t xml:space="preserve"> Επιλεγ</w:t>
      </w:r>
      <w:r w:rsidR="001B0ECB" w:rsidRPr="004E7B57">
        <w:t>έντες</w:t>
      </w:r>
      <w:r w:rsidR="00856EDC" w:rsidRPr="004E7B57">
        <w:t xml:space="preserve"> Συμμετέχ</w:t>
      </w:r>
      <w:r w:rsidR="001B0ECB" w:rsidRPr="004E7B57">
        <w:t>οντες</w:t>
      </w:r>
      <w:r w:rsidR="00856EDC" w:rsidRPr="004E7B57">
        <w:t xml:space="preserve"> δεν προσκομίσ</w:t>
      </w:r>
      <w:r w:rsidR="00A12A56" w:rsidRPr="004E7B57">
        <w:t>ουν</w:t>
      </w:r>
      <w:r w:rsidR="00856EDC" w:rsidRPr="004E7B57">
        <w:t xml:space="preserve"> τη</w:t>
      </w:r>
      <w:r w:rsidR="00975DE5" w:rsidRPr="004E7B57">
        <w:t xml:space="preserve">ν Εγγυητική Επιστολή </w:t>
      </w:r>
      <w:r w:rsidRPr="004E7B57">
        <w:t>Κ</w:t>
      </w:r>
      <w:r w:rsidR="00975DE5" w:rsidRPr="004E7B57">
        <w:t>αλής Λειτουργίας</w:t>
      </w:r>
      <w:r w:rsidR="007745F3" w:rsidRPr="004E7B57">
        <w:t xml:space="preserve">, ή υποβληθεί στον Διαχειριστή του Ε.Σ.Μ.Η.Ε. αίτηση για ενεργοποίηση της σύνδεσης του Σ.Α.Η.Ε. με το Σύστημα, κατά την παρ. 2 του άρθρου 27 του ν. 4951/2022 (Α’ 129), </w:t>
      </w:r>
      <w:r w:rsidR="00BB4C28" w:rsidRPr="004E7B57">
        <w:t>μετά</w:t>
      </w:r>
      <w:r w:rsidR="005C4D5B" w:rsidRPr="004E7B57">
        <w:t xml:space="preserve"> τη</w:t>
      </w:r>
      <w:r w:rsidR="00BB4C28" w:rsidRPr="004E7B57">
        <w:t>ν</w:t>
      </w:r>
      <w:r w:rsidR="005C4D5B" w:rsidRPr="004E7B57">
        <w:t xml:space="preserve"> 3</w:t>
      </w:r>
      <w:r w:rsidR="007745F3" w:rsidRPr="004E7B57">
        <w:t>1</w:t>
      </w:r>
      <w:r w:rsidR="007745F3" w:rsidRPr="004E7B57">
        <w:rPr>
          <w:vertAlign w:val="superscript"/>
        </w:rPr>
        <w:t>η</w:t>
      </w:r>
      <w:r w:rsidR="007745F3" w:rsidRPr="004E7B57">
        <w:t xml:space="preserve"> </w:t>
      </w:r>
      <w:r w:rsidR="005C4D5B" w:rsidRPr="004E7B57">
        <w:t>Δεκεμβ</w:t>
      </w:r>
      <w:r w:rsidR="007745F3" w:rsidRPr="004E7B57">
        <w:t>ρίου 202</w:t>
      </w:r>
      <w:r w:rsidR="005C4D5B" w:rsidRPr="004E7B57">
        <w:t>5</w:t>
      </w:r>
      <w:r w:rsidR="007745F3" w:rsidRPr="004E7B57">
        <w:t>,</w:t>
      </w:r>
    </w:p>
    <w:p w14:paraId="3632EB30" w14:textId="36279D8C" w:rsidR="001B2075" w:rsidRPr="004E7B57" w:rsidRDefault="001B2075" w:rsidP="000A1BD8">
      <w:pPr>
        <w:ind w:left="426"/>
      </w:pPr>
      <w:r w:rsidRPr="004E7B57">
        <w:rPr>
          <w:b/>
        </w:rPr>
        <w:lastRenderedPageBreak/>
        <w:t xml:space="preserve">(β) </w:t>
      </w:r>
      <w:r w:rsidRPr="004E7B57">
        <w:t>μερικώς, κατά ποσοστό δέκα τοις εκατό (</w:t>
      </w:r>
      <w:r w:rsidR="00693070">
        <w:t>2</w:t>
      </w:r>
      <w:r w:rsidRPr="004E7B57">
        <w:t>0%) για κάθε μήνα καθυστέρησης του Επιλεγέντος Συμμετέχοντος</w:t>
      </w:r>
      <w:r w:rsidR="00BD3584" w:rsidRPr="004E7B57">
        <w:t xml:space="preserve"> </w:t>
      </w:r>
      <w:r w:rsidRPr="004E7B57">
        <w:t xml:space="preserve">να υποβάλει στον Διαχειριστή του Ε.Σ.Μ.Η.Ε. </w:t>
      </w:r>
      <w:r w:rsidR="005C4D5B" w:rsidRPr="004E7B57">
        <w:t xml:space="preserve">το </w:t>
      </w:r>
      <w:r w:rsidRPr="004E7B57">
        <w:t>αίτη</w:t>
      </w:r>
      <w:r w:rsidR="005C4D5B" w:rsidRPr="004E7B57">
        <w:t>μα</w:t>
      </w:r>
      <w:r w:rsidRPr="004E7B57">
        <w:t xml:space="preserve"> για την ενεργοποίηση της σύνδεσης του Σ.Α.Η.Ε. με το Σύστημα, κατά την παρ. 2 του άρθρου 27 του ν. 4951/2022 (Α’ 129), </w:t>
      </w:r>
      <w:r w:rsidR="005C4D5B" w:rsidRPr="004E7B57">
        <w:t>πέραν της 3</w:t>
      </w:r>
      <w:r w:rsidR="00580DFA" w:rsidRPr="004E7B57">
        <w:t>0</w:t>
      </w:r>
      <w:r w:rsidR="005C4D5B" w:rsidRPr="004E7B57">
        <w:rPr>
          <w:vertAlign w:val="superscript"/>
        </w:rPr>
        <w:t>ης</w:t>
      </w:r>
      <w:r w:rsidR="005C4D5B" w:rsidRPr="004E7B57">
        <w:t xml:space="preserve"> </w:t>
      </w:r>
      <w:r w:rsidR="00580DFA" w:rsidRPr="004E7B57">
        <w:t xml:space="preserve">Σεπτεμβρίου </w:t>
      </w:r>
      <w:r w:rsidR="005C4D5B" w:rsidRPr="004E7B57">
        <w:t xml:space="preserve"> 2025</w:t>
      </w:r>
      <w:r w:rsidR="005B09DD" w:rsidRPr="005B09DD">
        <w:t xml:space="preserve"> (</w:t>
      </w:r>
      <w:r w:rsidR="005B09DD">
        <w:t>και μέχρι την 31</w:t>
      </w:r>
      <w:r w:rsidR="005B09DD" w:rsidRPr="005B09DD">
        <w:rPr>
          <w:vertAlign w:val="superscript"/>
        </w:rPr>
        <w:t>η</w:t>
      </w:r>
      <w:r w:rsidR="005B09DD">
        <w:t xml:space="preserve"> Δεκεμβρίου 2025)</w:t>
      </w:r>
      <w:r w:rsidR="00693070">
        <w:t xml:space="preserve">. </w:t>
      </w:r>
    </w:p>
    <w:p w14:paraId="0CAC732C" w14:textId="68128183" w:rsidR="00F2748D" w:rsidRPr="004E7B57" w:rsidRDefault="001B2075" w:rsidP="000A1BD8">
      <w:pPr>
        <w:ind w:left="426"/>
      </w:pPr>
      <w:r w:rsidRPr="004E7B57">
        <w:rPr>
          <w:b/>
        </w:rPr>
        <w:t xml:space="preserve">(γ) </w:t>
      </w:r>
      <w:r w:rsidR="00FA3BB1" w:rsidRPr="003F0DAE">
        <w:rPr>
          <w:bCs/>
        </w:rPr>
        <w:t>πλήρως σε περίπτωση μη τήρησης των υποχρεώσεων</w:t>
      </w:r>
      <w:r w:rsidR="00FA3BB1">
        <w:rPr>
          <w:b/>
        </w:rPr>
        <w:t xml:space="preserve"> </w:t>
      </w:r>
      <w:r w:rsidR="00856EDC" w:rsidRPr="00AD2DB3">
        <w:t>του άρθρου</w:t>
      </w:r>
      <w:r w:rsidR="00EC4B0B" w:rsidRPr="00AD2DB3">
        <w:t xml:space="preserve"> 1</w:t>
      </w:r>
      <w:r w:rsidR="00693070" w:rsidRPr="00AD2DB3">
        <w:t>5</w:t>
      </w:r>
      <w:r w:rsidR="00EC4B0B" w:rsidRPr="00AD2DB3">
        <w:t>.</w:t>
      </w:r>
    </w:p>
    <w:p w14:paraId="38B4E5AC" w14:textId="2725CEEB" w:rsidR="000546D5" w:rsidRPr="004E7B57" w:rsidRDefault="003F6B7D" w:rsidP="000A1BD8">
      <w:pPr>
        <w:ind w:left="426"/>
      </w:pPr>
      <w:r w:rsidRPr="004E7B57">
        <w:rPr>
          <w:b/>
        </w:rPr>
        <w:t>6</w:t>
      </w:r>
      <w:r w:rsidR="00856EDC" w:rsidRPr="004E7B57">
        <w:rPr>
          <w:b/>
        </w:rPr>
        <w:t xml:space="preserve">. Επιστροφή: </w:t>
      </w:r>
      <w:r w:rsidR="00856EDC" w:rsidRPr="004E7B57">
        <w:t xml:space="preserve">Η </w:t>
      </w:r>
      <w:r w:rsidR="00337D03" w:rsidRPr="004E7B57">
        <w:t xml:space="preserve">Εγγυητική Επιστολή </w:t>
      </w:r>
      <w:bookmarkStart w:id="16" w:name="_Hlk131347401"/>
      <w:r w:rsidR="00337D03" w:rsidRPr="004E7B57">
        <w:t xml:space="preserve">Έντεχνης και Έγκαιρης </w:t>
      </w:r>
      <w:r w:rsidR="00AD22DD" w:rsidRPr="004E7B57">
        <w:t>Εκτέλεσης</w:t>
      </w:r>
      <w:r w:rsidR="00856EDC" w:rsidRPr="004E7B57">
        <w:t xml:space="preserve"> </w:t>
      </w:r>
      <w:bookmarkEnd w:id="16"/>
      <w:r w:rsidR="00856EDC" w:rsidRPr="004E7B57">
        <w:t xml:space="preserve">επιστρέφεται από τη </w:t>
      </w:r>
      <w:r w:rsidR="00CF21E9" w:rsidRPr="004E7B57">
        <w:t>Ρ.Α.Α.Ε.Υ.</w:t>
      </w:r>
      <w:r w:rsidR="00856EDC" w:rsidRPr="004E7B57">
        <w:t>, κατόπιν σχετικού αιτήματ</w:t>
      </w:r>
      <w:r w:rsidR="001B0ECB" w:rsidRPr="004E7B57">
        <w:t>ο</w:t>
      </w:r>
      <w:r w:rsidR="00856EDC" w:rsidRPr="004E7B57">
        <w:t>ς Επιλεγέντος Συμμετέχοντος:</w:t>
      </w:r>
    </w:p>
    <w:p w14:paraId="0EDBD659" w14:textId="129FE53F" w:rsidR="000546D5" w:rsidRPr="004E7B57" w:rsidRDefault="00856EDC" w:rsidP="000A1BD8">
      <w:pPr>
        <w:ind w:left="426"/>
      </w:pPr>
      <w:r w:rsidRPr="004E7B57">
        <w:rPr>
          <w:b/>
        </w:rPr>
        <w:t xml:space="preserve">(α) </w:t>
      </w:r>
      <w:r w:rsidR="008F4D92" w:rsidRPr="004E7B57">
        <w:t>Ε</w:t>
      </w:r>
      <w:r w:rsidRPr="004E7B57">
        <w:t>φόσον έχει προηγουμένως καταθέσει την</w:t>
      </w:r>
      <w:r w:rsidR="008F4D92" w:rsidRPr="004E7B57">
        <w:t xml:space="preserve"> </w:t>
      </w:r>
      <w:r w:rsidR="00337D03" w:rsidRPr="004E7B57">
        <w:t>Εγγυητική</w:t>
      </w:r>
      <w:r w:rsidR="008F4D92" w:rsidRPr="004E7B57">
        <w:t xml:space="preserve"> </w:t>
      </w:r>
      <w:r w:rsidR="00337D03" w:rsidRPr="004E7B57">
        <w:t xml:space="preserve"> Επιστολή</w:t>
      </w:r>
      <w:r w:rsidR="008F4D92" w:rsidRPr="004E7B57">
        <w:t>ς</w:t>
      </w:r>
      <w:r w:rsidR="00975DE5" w:rsidRPr="004E7B57">
        <w:t xml:space="preserve"> Καλή</w:t>
      </w:r>
      <w:r w:rsidR="002729C4" w:rsidRPr="004E7B57">
        <w:t>ς</w:t>
      </w:r>
      <w:r w:rsidR="00975DE5" w:rsidRPr="004E7B57">
        <w:t xml:space="preserve"> Λειτουργία</w:t>
      </w:r>
      <w:r w:rsidR="001B2075" w:rsidRPr="004E7B57">
        <w:t>ς, σύμφωνα με την παρ</w:t>
      </w:r>
      <w:r w:rsidR="001B2075" w:rsidRPr="00353EA9">
        <w:t>. 11.</w:t>
      </w:r>
      <w:r w:rsidR="00353EA9" w:rsidRPr="00353EA9">
        <w:t>3</w:t>
      </w:r>
      <w:r w:rsidR="001B2075" w:rsidRPr="00353EA9">
        <w:t>.</w:t>
      </w:r>
      <w:r w:rsidR="00AE0827" w:rsidRPr="00353EA9">
        <w:t>3</w:t>
      </w:r>
      <w:r w:rsidRPr="00353EA9">
        <w:t>.</w:t>
      </w:r>
    </w:p>
    <w:p w14:paraId="7250E4B7" w14:textId="341EDD93" w:rsidR="000546D5" w:rsidRPr="004E7B57" w:rsidRDefault="00856EDC" w:rsidP="000A1BD8">
      <w:pPr>
        <w:ind w:left="426"/>
        <w:rPr>
          <w:i/>
        </w:rPr>
      </w:pPr>
      <w:r w:rsidRPr="004E7B57">
        <w:rPr>
          <w:b/>
        </w:rPr>
        <w:t xml:space="preserve">(β) </w:t>
      </w:r>
      <w:r w:rsidR="00975DE5" w:rsidRPr="004E7B57">
        <w:rPr>
          <w:bCs/>
        </w:rPr>
        <w:t>Στην περίπτωση αν</w:t>
      </w:r>
      <w:r w:rsidR="008F4D92" w:rsidRPr="004E7B57">
        <w:rPr>
          <w:bCs/>
        </w:rPr>
        <w:t>τικατάστασης τ</w:t>
      </w:r>
      <w:r w:rsidR="00295C17" w:rsidRPr="004E7B57">
        <w:rPr>
          <w:bCs/>
        </w:rPr>
        <w:t>ων</w:t>
      </w:r>
      <w:r w:rsidR="008F4D92" w:rsidRPr="004E7B57">
        <w:rPr>
          <w:bCs/>
        </w:rPr>
        <w:t xml:space="preserve"> </w:t>
      </w:r>
      <w:r w:rsidR="008F4D92" w:rsidRPr="00AD2DB3">
        <w:rPr>
          <w:bCs/>
        </w:rPr>
        <w:t xml:space="preserve">περ. </w:t>
      </w:r>
      <w:r w:rsidR="00295C17" w:rsidRPr="00AD2DB3">
        <w:rPr>
          <w:bCs/>
        </w:rPr>
        <w:t xml:space="preserve">(α) και </w:t>
      </w:r>
      <w:r w:rsidR="008F4D92" w:rsidRPr="00AD2DB3">
        <w:rPr>
          <w:bCs/>
        </w:rPr>
        <w:t>(β) της παρ. 2</w:t>
      </w:r>
      <w:r w:rsidR="008F4D92" w:rsidRPr="004E7B57">
        <w:rPr>
          <w:bCs/>
        </w:rPr>
        <w:t xml:space="preserve">, </w:t>
      </w:r>
      <w:r w:rsidRPr="004E7B57">
        <w:t>εφόσον έχει προηγουμένως καταθέσει τ</w:t>
      </w:r>
      <w:r w:rsidR="00EC4B0B" w:rsidRPr="004E7B57">
        <w:t>η</w:t>
      </w:r>
      <w:r w:rsidR="008F4D92" w:rsidRPr="004E7B57">
        <w:t xml:space="preserve"> νέα </w:t>
      </w:r>
      <w:r w:rsidRPr="004E7B57">
        <w:t>Εγγυητικ</w:t>
      </w:r>
      <w:r w:rsidR="00EC4B0B" w:rsidRPr="004E7B57">
        <w:t>ή</w:t>
      </w:r>
      <w:r w:rsidRPr="004E7B57">
        <w:t xml:space="preserve"> Επιστολ</w:t>
      </w:r>
      <w:r w:rsidR="00EC4B0B" w:rsidRPr="004E7B57">
        <w:t xml:space="preserve">ή </w:t>
      </w:r>
      <w:r w:rsidR="001B2075" w:rsidRPr="004E7B57">
        <w:t>Έντεχνης και Έγκαιρης Εκτέλεσης</w:t>
      </w:r>
      <w:r w:rsidR="00EC4B0B" w:rsidRPr="004E7B57">
        <w:t>.</w:t>
      </w:r>
    </w:p>
    <w:p w14:paraId="23F2E6D2" w14:textId="77777777" w:rsidR="0076376C" w:rsidRPr="004E7B57" w:rsidRDefault="0076376C" w:rsidP="002566EC"/>
    <w:p w14:paraId="5AF604F4" w14:textId="62B5E79B" w:rsidR="00865CF3" w:rsidRPr="004E7B57" w:rsidRDefault="00865CF3" w:rsidP="002566EC">
      <w:r w:rsidRPr="004E7B57">
        <w:rPr>
          <w:b/>
        </w:rPr>
        <w:t>1</w:t>
      </w:r>
      <w:r w:rsidR="00EC4B0B" w:rsidRPr="004E7B57">
        <w:rPr>
          <w:b/>
        </w:rPr>
        <w:t>1</w:t>
      </w:r>
      <w:r w:rsidRPr="004E7B57">
        <w:rPr>
          <w:b/>
        </w:rPr>
        <w:t>.</w:t>
      </w:r>
      <w:r w:rsidR="00FA3BB1">
        <w:rPr>
          <w:b/>
        </w:rPr>
        <w:t>3</w:t>
      </w:r>
      <w:r w:rsidRPr="004E7B57">
        <w:rPr>
          <w:b/>
        </w:rPr>
        <w:t>.</w:t>
      </w:r>
      <w:r w:rsidR="00AA1000" w:rsidRPr="004E7B57">
        <w:rPr>
          <w:b/>
        </w:rPr>
        <w:t>3</w:t>
      </w:r>
      <w:r w:rsidRPr="004E7B57">
        <w:rPr>
          <w:b/>
        </w:rPr>
        <w:t xml:space="preserve">. Εγγυητική Επιστολή Καλής </w:t>
      </w:r>
      <w:r w:rsidR="001B0ECB" w:rsidRPr="004E7B57">
        <w:rPr>
          <w:b/>
        </w:rPr>
        <w:t>Λειτουργίας</w:t>
      </w:r>
      <w:r w:rsidRPr="004E7B57">
        <w:t xml:space="preserve">, η οποία εκδίδεται υπέρ του </w:t>
      </w:r>
      <w:r w:rsidR="00274AEC" w:rsidRPr="004E7B57">
        <w:t xml:space="preserve">του Διαχειριστή Α.Π.Ε. και Εγγυήσεων Προέλευσης και καταπίπτει υπέρ του Ειδικού Λογαριασμού Α.Π.Ε., Σ.Η.Θ.Υ.Α. και Αποθήκευσης Διασυνδεδεμένου Συστήματος και Δικτύου/ </w:t>
      </w:r>
      <w:proofErr w:type="spellStart"/>
      <w:r w:rsidR="00274AEC" w:rsidRPr="004E7B57">
        <w:t>Υπολογαριασμού</w:t>
      </w:r>
      <w:proofErr w:type="spellEnd"/>
      <w:r w:rsidR="00274AEC" w:rsidRPr="004E7B57">
        <w:t xml:space="preserve"> Συστημάτων Αποθήκευσης ηλεκτρικής ενέργειας</w:t>
      </w:r>
      <w:r w:rsidR="00F2748D" w:rsidRPr="004E7B57">
        <w:t xml:space="preserve"> </w:t>
      </w:r>
      <w:r w:rsidR="00274AEC" w:rsidRPr="004E7B57">
        <w:t xml:space="preserve">ΥΛ Σ.Α.Η.Ε. του άρθρου 143 του ν. 4001/2011 </w:t>
      </w:r>
      <w:r w:rsidRPr="004E7B57">
        <w:t xml:space="preserve">και η οποία κατατίθεται στη </w:t>
      </w:r>
      <w:r w:rsidR="00CF21E9" w:rsidRPr="004E7B57">
        <w:t>Ρ.Α.Α.Ε.Υ.</w:t>
      </w:r>
      <w:r w:rsidRPr="004E7B57">
        <w:t xml:space="preserve"> από </w:t>
      </w:r>
      <w:r w:rsidR="00274AEC" w:rsidRPr="004E7B57">
        <w:t xml:space="preserve">έκαστο </w:t>
      </w:r>
      <w:r w:rsidRPr="004E7B57">
        <w:t xml:space="preserve">Επιλεγέντα Συμμετέχοντα με σκοπό την εξασφάλιση </w:t>
      </w:r>
      <w:r w:rsidR="00274AEC" w:rsidRPr="004E7B57">
        <w:t xml:space="preserve">της </w:t>
      </w:r>
      <w:r w:rsidR="001B0ECB" w:rsidRPr="004E7B57">
        <w:t xml:space="preserve">καλής </w:t>
      </w:r>
      <w:r w:rsidRPr="004E7B57">
        <w:t>λειτουργίας του έργου</w:t>
      </w:r>
      <w:r w:rsidR="00FA3BB1">
        <w:t xml:space="preserve"> και</w:t>
      </w:r>
      <w:r w:rsidR="00FA3BB1" w:rsidRPr="004E7B57">
        <w:t xml:space="preserve"> </w:t>
      </w:r>
      <w:r w:rsidRPr="004E7B57">
        <w:t>της ενεργειακής αποδοτικότητάς</w:t>
      </w:r>
      <w:r w:rsidR="00F2748D" w:rsidRPr="004E7B57">
        <w:t xml:space="preserve"> </w:t>
      </w:r>
      <w:r w:rsidRPr="004E7B57">
        <w:t>του</w:t>
      </w:r>
      <w:r w:rsidR="00FA3BB1">
        <w:t xml:space="preserve"> Σ.Α.Η.Ε.</w:t>
      </w:r>
      <w:r w:rsidR="001B0ECB" w:rsidRPr="004E7B57">
        <w:t xml:space="preserve">. </w:t>
      </w:r>
    </w:p>
    <w:p w14:paraId="2B28E96C" w14:textId="707D6FF4" w:rsidR="00865CF3" w:rsidRPr="002566EC" w:rsidRDefault="003F6B7D" w:rsidP="00AD2DB3">
      <w:pPr>
        <w:ind w:left="426"/>
        <w:rPr>
          <w:b/>
          <w:bCs/>
        </w:rPr>
      </w:pPr>
      <w:r w:rsidRPr="002566EC">
        <w:rPr>
          <w:b/>
          <w:bCs/>
        </w:rPr>
        <w:t>1</w:t>
      </w:r>
      <w:r w:rsidR="00865CF3" w:rsidRPr="002566EC">
        <w:rPr>
          <w:b/>
          <w:bCs/>
        </w:rPr>
        <w:t>. Κατάθεση:</w:t>
      </w:r>
    </w:p>
    <w:p w14:paraId="6F901540" w14:textId="7D73E071" w:rsidR="008373F2" w:rsidRPr="004E7B57" w:rsidRDefault="00865CF3" w:rsidP="00AD2DB3">
      <w:pPr>
        <w:ind w:left="426"/>
      </w:pPr>
      <w:r w:rsidRPr="004E7B57">
        <w:rPr>
          <w:b/>
        </w:rPr>
        <w:t xml:space="preserve">(α) </w:t>
      </w:r>
      <w:r w:rsidRPr="004E7B57">
        <w:t>Η</w:t>
      </w:r>
      <w:r w:rsidR="00980D9F" w:rsidRPr="004E7B57">
        <w:t xml:space="preserve"> </w:t>
      </w:r>
      <w:r w:rsidR="005F0C45" w:rsidRPr="004E7B57">
        <w:t>1</w:t>
      </w:r>
      <w:r w:rsidR="004A561F" w:rsidRPr="004E7B57">
        <w:rPr>
          <w:vertAlign w:val="superscript"/>
        </w:rPr>
        <w:t>η</w:t>
      </w:r>
      <w:r w:rsidR="005F0C45" w:rsidRPr="004E7B57">
        <w:rPr>
          <w:vertAlign w:val="superscript"/>
        </w:rPr>
        <w:t xml:space="preserve"> </w:t>
      </w:r>
      <w:r w:rsidRPr="004E7B57">
        <w:t xml:space="preserve">Εγγυητική Επιστολή Καλής </w:t>
      </w:r>
      <w:r w:rsidR="001B0ECB" w:rsidRPr="004E7B57">
        <w:t>Λειτουργίας</w:t>
      </w:r>
      <w:r w:rsidRPr="004E7B57">
        <w:t xml:space="preserve">, κατατίθεται </w:t>
      </w:r>
      <w:r w:rsidR="00580DFA" w:rsidRPr="004E7B57">
        <w:t xml:space="preserve">στη Ρ.Α.Α.Ε.Υ. </w:t>
      </w:r>
      <w:r w:rsidR="00866C6B" w:rsidRPr="004E7B57">
        <w:t xml:space="preserve">μετά από την επιτυχή ολοκλήρωση της δοκιμαστικής λειτουργίας του Σ.Α.Η.Ε. </w:t>
      </w:r>
      <w:r w:rsidR="003A6862" w:rsidRPr="004E7B57">
        <w:t xml:space="preserve">και αποτελεί προϋπόθεση για την έκδοση της άδειας λειτουργίας </w:t>
      </w:r>
      <w:r w:rsidR="00BD3584" w:rsidRPr="004E7B57">
        <w:t>του Σ.Α.Η.Ε.</w:t>
      </w:r>
      <w:r w:rsidRPr="004E7B57">
        <w:t>.</w:t>
      </w:r>
    </w:p>
    <w:p w14:paraId="4FEB323E" w14:textId="51604A61" w:rsidR="005F0C45" w:rsidRDefault="005F0C45" w:rsidP="00AD2DB3">
      <w:pPr>
        <w:ind w:left="426"/>
      </w:pPr>
      <w:r w:rsidRPr="004E7B57">
        <w:rPr>
          <w:b/>
        </w:rPr>
        <w:t xml:space="preserve">(β) </w:t>
      </w:r>
      <w:r w:rsidRPr="004E7B57">
        <w:t>Η 2</w:t>
      </w:r>
      <w:r w:rsidR="004A561F" w:rsidRPr="004E7B57">
        <w:rPr>
          <w:vertAlign w:val="superscript"/>
        </w:rPr>
        <w:t>η</w:t>
      </w:r>
      <w:r w:rsidRPr="004E7B57">
        <w:t xml:space="preserve"> </w:t>
      </w:r>
      <w:r w:rsidR="005E2A0D" w:rsidRPr="004E7B57">
        <w:t>Εγγυητική Επιστολή Καλής Λειτουργίας κατατίθεται στη Ρ.Α.Α.Ε.Υ. το αργότερο δύο (2) μήνες πριν τη λήξη της 1</w:t>
      </w:r>
      <w:r w:rsidR="004A561F" w:rsidRPr="004E7B57">
        <w:rPr>
          <w:vertAlign w:val="superscript"/>
        </w:rPr>
        <w:t>η</w:t>
      </w:r>
      <w:r w:rsidR="005E2A0D" w:rsidRPr="004E7B57">
        <w:rPr>
          <w:vertAlign w:val="superscript"/>
        </w:rPr>
        <w:t>ς</w:t>
      </w:r>
      <w:r w:rsidR="005E2A0D" w:rsidRPr="004E7B57">
        <w:t xml:space="preserve"> Εγγυητικής Επιστολής Καλής Λειτουργίας</w:t>
      </w:r>
      <w:r w:rsidR="00213A5F">
        <w:t>.</w:t>
      </w:r>
    </w:p>
    <w:p w14:paraId="20B0699C" w14:textId="54F515BD" w:rsidR="00865CF3" w:rsidRPr="002566EC" w:rsidRDefault="003F6B7D" w:rsidP="00AD2DB3">
      <w:pPr>
        <w:ind w:left="426"/>
        <w:rPr>
          <w:b/>
          <w:bCs/>
        </w:rPr>
      </w:pPr>
      <w:r w:rsidRPr="002566EC">
        <w:rPr>
          <w:b/>
          <w:bCs/>
        </w:rPr>
        <w:t>2</w:t>
      </w:r>
      <w:r w:rsidR="00865CF3" w:rsidRPr="002566EC">
        <w:rPr>
          <w:b/>
          <w:bCs/>
        </w:rPr>
        <w:t>. Ποσό:</w:t>
      </w:r>
    </w:p>
    <w:p w14:paraId="12806938" w14:textId="368D9BFB" w:rsidR="00865CF3" w:rsidRPr="004E7B57" w:rsidRDefault="00865CF3" w:rsidP="00AD2DB3">
      <w:pPr>
        <w:ind w:left="426"/>
      </w:pPr>
      <w:r w:rsidRPr="004E7B57">
        <w:rPr>
          <w:b/>
        </w:rPr>
        <w:t xml:space="preserve">(α) </w:t>
      </w:r>
      <w:r w:rsidRPr="004E7B57">
        <w:t>Η</w:t>
      </w:r>
      <w:r w:rsidR="00C8640A" w:rsidRPr="004E7B57">
        <w:t xml:space="preserve"> </w:t>
      </w:r>
      <w:r w:rsidRPr="004E7B57">
        <w:rPr>
          <w:b/>
          <w:bCs/>
        </w:rPr>
        <w:t>Εγγυητική Επιστολή Καλής Λειτουργίας</w:t>
      </w:r>
      <w:r w:rsidRPr="004E7B57">
        <w:t xml:space="preserve"> ανέρχεται στο ποσό των</w:t>
      </w:r>
      <w:r w:rsidR="009315F1" w:rsidRPr="004E7B57">
        <w:t xml:space="preserve"> διακοσίων χιλιάδων ευρώ ανά MW μέγιστης εγχεόμενης ισχύος </w:t>
      </w:r>
      <w:r w:rsidR="009315F1" w:rsidRPr="004E7B57">
        <w:rPr>
          <w:b/>
          <w:bCs/>
        </w:rPr>
        <w:t>(€ 2</w:t>
      </w:r>
      <w:r w:rsidR="00336EC4" w:rsidRPr="004E7B57">
        <w:rPr>
          <w:b/>
          <w:bCs/>
        </w:rPr>
        <w:t>0</w:t>
      </w:r>
      <w:r w:rsidR="009315F1" w:rsidRPr="004E7B57">
        <w:rPr>
          <w:b/>
          <w:bCs/>
        </w:rPr>
        <w:t>0.000,00/MW</w:t>
      </w:r>
      <w:r w:rsidR="009315F1" w:rsidRPr="004E7B57">
        <w:t>).</w:t>
      </w:r>
    </w:p>
    <w:p w14:paraId="71295ECD" w14:textId="09CA3883" w:rsidR="00C8640A" w:rsidRPr="004E7B57" w:rsidRDefault="009315F1" w:rsidP="00AD2DB3">
      <w:pPr>
        <w:ind w:left="426"/>
      </w:pPr>
      <w:r w:rsidRPr="004E7B57">
        <w:rPr>
          <w:b/>
        </w:rPr>
        <w:t xml:space="preserve">(β) </w:t>
      </w:r>
      <w:r w:rsidRPr="004E7B57">
        <w:rPr>
          <w:bCs/>
        </w:rPr>
        <w:t xml:space="preserve">Με την επιφύλαξη των κυρώσεων του παρόντος και του </w:t>
      </w:r>
      <w:r w:rsidRPr="00AD2DB3">
        <w:rPr>
          <w:bCs/>
        </w:rPr>
        <w:t>άρθρου 16</w:t>
      </w:r>
      <w:r w:rsidRPr="004E7B57">
        <w:rPr>
          <w:bCs/>
        </w:rPr>
        <w:t xml:space="preserve">, το ποσό </w:t>
      </w:r>
      <w:r w:rsidR="00580DFA" w:rsidRPr="004E7B57">
        <w:rPr>
          <w:bCs/>
        </w:rPr>
        <w:t xml:space="preserve">της </w:t>
      </w:r>
      <w:r w:rsidR="005F0C45" w:rsidRPr="004E7B57">
        <w:rPr>
          <w:bCs/>
        </w:rPr>
        <w:t>1</w:t>
      </w:r>
      <w:r w:rsidR="004A561F" w:rsidRPr="004E7B57">
        <w:rPr>
          <w:bCs/>
          <w:vertAlign w:val="superscript"/>
        </w:rPr>
        <w:t>η</w:t>
      </w:r>
      <w:r w:rsidR="005F0C45" w:rsidRPr="004E7B57">
        <w:rPr>
          <w:bCs/>
          <w:vertAlign w:val="superscript"/>
        </w:rPr>
        <w:t>ς</w:t>
      </w:r>
      <w:r w:rsidR="005F0C45" w:rsidRPr="004E7B57">
        <w:rPr>
          <w:bCs/>
        </w:rPr>
        <w:t xml:space="preserve"> </w:t>
      </w:r>
      <w:r w:rsidRPr="004E7B57">
        <w:rPr>
          <w:bCs/>
        </w:rPr>
        <w:t>Εγγυητικής Επιστολής</w:t>
      </w:r>
      <w:r w:rsidRPr="004E7B57">
        <w:rPr>
          <w:b/>
        </w:rPr>
        <w:t xml:space="preserve"> </w:t>
      </w:r>
      <w:r w:rsidRPr="004E7B57">
        <w:rPr>
          <w:bCs/>
        </w:rPr>
        <w:t>Καλής Λειτουργίας</w:t>
      </w:r>
      <w:r w:rsidRPr="004E7B57">
        <w:t xml:space="preserve"> </w:t>
      </w:r>
      <w:proofErr w:type="spellStart"/>
      <w:r w:rsidRPr="004E7B57">
        <w:t>απομειώνεται</w:t>
      </w:r>
      <w:proofErr w:type="spellEnd"/>
      <w:r w:rsidR="00580DFA" w:rsidRPr="004E7B57">
        <w:t xml:space="preserve">, με τη συμπλήρωση πέντε (5) ετών από την έκδοση της άδειας λειτουργίας του Ενισχυόμενου Σ.Α.Η.Ε. </w:t>
      </w:r>
      <w:r w:rsidRPr="004E7B57">
        <w:t xml:space="preserve">κατά </w:t>
      </w:r>
      <w:r w:rsidR="00580DFA" w:rsidRPr="004E7B57">
        <w:t xml:space="preserve">ευρώ εκατό χιλιάδες </w:t>
      </w:r>
      <w:r w:rsidR="00866C6B" w:rsidRPr="004E7B57">
        <w:t xml:space="preserve">ευρώ </w:t>
      </w:r>
      <w:r w:rsidR="00580DFA" w:rsidRPr="004E7B57">
        <w:t>(€ 100.000) ανά μεγαβάτ (</w:t>
      </w:r>
      <w:r w:rsidR="00580DFA" w:rsidRPr="004E7B57">
        <w:rPr>
          <w:lang w:val="en-US"/>
        </w:rPr>
        <w:t>MW</w:t>
      </w:r>
      <w:r w:rsidR="00580DFA" w:rsidRPr="004E7B57">
        <w:t xml:space="preserve">) </w:t>
      </w:r>
      <w:r w:rsidR="004C1283" w:rsidRPr="004E7B57">
        <w:t>Μ</w:t>
      </w:r>
      <w:r w:rsidR="00580DFA" w:rsidRPr="004E7B57">
        <w:t xml:space="preserve">έγιστης </w:t>
      </w:r>
      <w:r w:rsidR="004C1283" w:rsidRPr="004E7B57">
        <w:t>Ι</w:t>
      </w:r>
      <w:r w:rsidR="00580DFA" w:rsidRPr="004E7B57">
        <w:t xml:space="preserve">σχύος </w:t>
      </w:r>
      <w:r w:rsidR="004C1283" w:rsidRPr="004E7B57">
        <w:t>Έ</w:t>
      </w:r>
      <w:r w:rsidR="00580DFA" w:rsidRPr="004E7B57">
        <w:t>γχυσης</w:t>
      </w:r>
      <w:r w:rsidRPr="004E7B57">
        <w:t xml:space="preserve">. </w:t>
      </w:r>
    </w:p>
    <w:p w14:paraId="40630145" w14:textId="5DA09D49" w:rsidR="00865CF3" w:rsidRPr="004E7B57" w:rsidRDefault="00C8640A" w:rsidP="00AD2DB3">
      <w:pPr>
        <w:ind w:left="426"/>
      </w:pPr>
      <w:r w:rsidRPr="004E7B57">
        <w:rPr>
          <w:b/>
        </w:rPr>
        <w:t xml:space="preserve">(γ) </w:t>
      </w:r>
      <w:r w:rsidR="009315F1" w:rsidRPr="004E7B57">
        <w:t xml:space="preserve">Για την επιστροφή </w:t>
      </w:r>
      <w:r w:rsidR="005F0C45" w:rsidRPr="004E7B57">
        <w:t>της 1</w:t>
      </w:r>
      <w:r w:rsidR="005F0C45" w:rsidRPr="004E7B57">
        <w:rPr>
          <w:vertAlign w:val="superscript"/>
        </w:rPr>
        <w:t>ης</w:t>
      </w:r>
      <w:r w:rsidR="005F0C45" w:rsidRPr="004E7B57">
        <w:t xml:space="preserve"> </w:t>
      </w:r>
      <w:r w:rsidR="009315F1" w:rsidRPr="004E7B57">
        <w:t xml:space="preserve">Εγγυητικής Επιστολής Καλής Λειτουργίας και την κατάθεση </w:t>
      </w:r>
      <w:r w:rsidR="005F0C45" w:rsidRPr="004E7B57">
        <w:t>της 2</w:t>
      </w:r>
      <w:r w:rsidR="00C878BC" w:rsidRPr="004E7B57">
        <w:rPr>
          <w:vertAlign w:val="superscript"/>
        </w:rPr>
        <w:t>η</w:t>
      </w:r>
      <w:r w:rsidR="005F0C45" w:rsidRPr="004E7B57">
        <w:rPr>
          <w:vertAlign w:val="superscript"/>
        </w:rPr>
        <w:t>ς</w:t>
      </w:r>
      <w:r w:rsidR="005F0C45" w:rsidRPr="004E7B57">
        <w:t xml:space="preserve"> </w:t>
      </w:r>
      <w:r w:rsidR="00C878BC" w:rsidRPr="004E7B57">
        <w:t>(</w:t>
      </w:r>
      <w:proofErr w:type="spellStart"/>
      <w:r w:rsidR="009315F1" w:rsidRPr="004E7B57">
        <w:t>απομειωμένης</w:t>
      </w:r>
      <w:proofErr w:type="spellEnd"/>
      <w:r w:rsidR="009315F1" w:rsidRPr="004E7B57">
        <w:t xml:space="preserve">) Εγγυητικής Επιστολής Καλής Λειτουργίας, κατά  </w:t>
      </w:r>
      <w:r w:rsidR="005C5C38" w:rsidRPr="004E7B57">
        <w:t xml:space="preserve">την </w:t>
      </w:r>
      <w:r w:rsidR="009315F1" w:rsidRPr="004E7B57">
        <w:t>περ. (</w:t>
      </w:r>
      <w:r w:rsidR="003A6862" w:rsidRPr="004E7B57">
        <w:t>β</w:t>
      </w:r>
      <w:r w:rsidR="009315F1" w:rsidRPr="004E7B57">
        <w:t xml:space="preserve">), ο Επιλεγείς Συμμετέχων </w:t>
      </w:r>
      <w:r w:rsidR="00DC696E" w:rsidRPr="004E7B57">
        <w:t xml:space="preserve">δύναται να </w:t>
      </w:r>
      <w:r w:rsidR="009315F1" w:rsidRPr="004E7B57">
        <w:t>υποβά</w:t>
      </w:r>
      <w:r w:rsidR="006839B4" w:rsidRPr="004E7B57">
        <w:t>λ</w:t>
      </w:r>
      <w:r w:rsidR="009315F1" w:rsidRPr="004E7B57">
        <w:t>ει αίτημα</w:t>
      </w:r>
      <w:r w:rsidR="0076376C" w:rsidRPr="004E7B57">
        <w:t>,</w:t>
      </w:r>
      <w:r w:rsidR="009315F1" w:rsidRPr="004E7B57">
        <w:t xml:space="preserve"> </w:t>
      </w:r>
      <w:r w:rsidR="0076376C" w:rsidRPr="004E7B57">
        <w:t xml:space="preserve">το αργότερο </w:t>
      </w:r>
      <w:r w:rsidR="00295C17" w:rsidRPr="004E7B57">
        <w:t xml:space="preserve">είκοσι (20) ημέρες </w:t>
      </w:r>
      <w:r w:rsidR="0076376C" w:rsidRPr="004E7B57">
        <w:t xml:space="preserve">πριν από την λήξη της προθεσμίας </w:t>
      </w:r>
      <w:r w:rsidR="00295C17" w:rsidRPr="004E7B57">
        <w:t>υποβολής</w:t>
      </w:r>
      <w:r w:rsidR="0076376C" w:rsidRPr="004E7B57">
        <w:t xml:space="preserve"> </w:t>
      </w:r>
      <w:r w:rsidR="009315F1" w:rsidRPr="004E7B57">
        <w:t xml:space="preserve">στη </w:t>
      </w:r>
      <w:r w:rsidR="00CF21E9" w:rsidRPr="004E7B57">
        <w:t>Ρ.Α.Α.Ε.Υ.</w:t>
      </w:r>
      <w:r w:rsidR="00865CF3" w:rsidRPr="004E7B57">
        <w:t>.</w:t>
      </w:r>
    </w:p>
    <w:p w14:paraId="75856831" w14:textId="77777777" w:rsidR="006C3E9D" w:rsidRPr="002566EC" w:rsidRDefault="003F6B7D" w:rsidP="00AD2DB3">
      <w:pPr>
        <w:ind w:left="426"/>
        <w:rPr>
          <w:b/>
          <w:bCs/>
        </w:rPr>
      </w:pPr>
      <w:r w:rsidRPr="002566EC">
        <w:rPr>
          <w:b/>
          <w:bCs/>
        </w:rPr>
        <w:t>3</w:t>
      </w:r>
      <w:r w:rsidR="00865CF3" w:rsidRPr="002566EC">
        <w:rPr>
          <w:b/>
          <w:bCs/>
        </w:rPr>
        <w:t xml:space="preserve">. Περιεχόμενο και διάρκεια ισχύος: </w:t>
      </w:r>
    </w:p>
    <w:p w14:paraId="470F9C25" w14:textId="37193D42" w:rsidR="00865CF3" w:rsidRPr="004E7B57" w:rsidRDefault="006C3E9D" w:rsidP="00AD2DB3">
      <w:pPr>
        <w:ind w:left="426"/>
      </w:pPr>
      <w:r w:rsidRPr="004E7B57">
        <w:rPr>
          <w:b/>
          <w:bCs/>
        </w:rPr>
        <w:t>(α)</w:t>
      </w:r>
      <w:r w:rsidRPr="004E7B57">
        <w:t xml:space="preserve"> </w:t>
      </w:r>
      <w:r w:rsidR="00865CF3" w:rsidRPr="004E7B57">
        <w:t xml:space="preserve">Η Εγγυητική Επιστολή Καλής </w:t>
      </w:r>
      <w:r w:rsidR="00217DF1" w:rsidRPr="004E7B57">
        <w:t>Λειτουργίας</w:t>
      </w:r>
      <w:r w:rsidR="00865CF3" w:rsidRPr="004E7B57">
        <w:t xml:space="preserve"> συντάσσεται σύμφωνα με το </w:t>
      </w:r>
      <w:r w:rsidR="00865CF3" w:rsidRPr="00AD2DB3">
        <w:t xml:space="preserve">Παράρτημα Ε (Υπόδειγμα </w:t>
      </w:r>
      <w:r w:rsidR="00353AF7" w:rsidRPr="00AD2DB3">
        <w:t>ΙΙ</w:t>
      </w:r>
      <w:r w:rsidR="00865CF3" w:rsidRPr="00AD2DB3">
        <w:t>)</w:t>
      </w:r>
      <w:r w:rsidR="00865CF3" w:rsidRPr="004E7B57">
        <w:t xml:space="preserve"> της παρούσας Προκήρυξης.</w:t>
      </w:r>
    </w:p>
    <w:p w14:paraId="60E14C73" w14:textId="75BED59A" w:rsidR="00865CF3" w:rsidRPr="004E7B57" w:rsidRDefault="006C3E9D" w:rsidP="00AD2DB3">
      <w:pPr>
        <w:ind w:left="426"/>
      </w:pPr>
      <w:r w:rsidRPr="004E7B57">
        <w:rPr>
          <w:b/>
          <w:bCs/>
        </w:rPr>
        <w:t xml:space="preserve">(β) </w:t>
      </w:r>
      <w:r w:rsidR="00DC2E3E" w:rsidRPr="004E7B57">
        <w:t xml:space="preserve">Η </w:t>
      </w:r>
      <w:r w:rsidR="005F0C45" w:rsidRPr="004E7B57">
        <w:t>1</w:t>
      </w:r>
      <w:r w:rsidR="004A561F" w:rsidRPr="004E7B57">
        <w:rPr>
          <w:vertAlign w:val="superscript"/>
        </w:rPr>
        <w:t>η</w:t>
      </w:r>
      <w:r w:rsidR="005F0C45" w:rsidRPr="004E7B57">
        <w:t xml:space="preserve"> </w:t>
      </w:r>
      <w:r w:rsidR="00865CF3" w:rsidRPr="004E7B57">
        <w:t>Εγγυητική Επιστολή Καλής Λειτουργίας έχ</w:t>
      </w:r>
      <w:r w:rsidR="00336EC4" w:rsidRPr="004E7B57">
        <w:t xml:space="preserve">ει </w:t>
      </w:r>
      <w:r w:rsidR="00865CF3" w:rsidRPr="004E7B57">
        <w:t xml:space="preserve">διάρκεια ισχύος </w:t>
      </w:r>
      <w:r w:rsidR="005F0C45" w:rsidRPr="004E7B57">
        <w:t>εξήντα (6</w:t>
      </w:r>
      <w:r w:rsidR="00A045D5" w:rsidRPr="004E7B57">
        <w:t>0</w:t>
      </w:r>
      <w:r w:rsidR="005F0C45" w:rsidRPr="004E7B57">
        <w:t>)</w:t>
      </w:r>
      <w:r w:rsidR="00866C6B" w:rsidRPr="004E7B57">
        <w:t xml:space="preserve"> μηνών</w:t>
      </w:r>
      <w:r w:rsidR="005F0C45" w:rsidRPr="004E7B57">
        <w:t xml:space="preserve"> από την έκδοσή της</w:t>
      </w:r>
      <w:r w:rsidR="00C174C0" w:rsidRPr="004E7B57">
        <w:t xml:space="preserve">. </w:t>
      </w:r>
      <w:r w:rsidR="00336EC4" w:rsidRPr="004E7B57">
        <w:t>Σ</w:t>
      </w:r>
      <w:r w:rsidR="005F0C45" w:rsidRPr="004E7B57">
        <w:t>την</w:t>
      </w:r>
      <w:r w:rsidR="00336EC4" w:rsidRPr="004E7B57">
        <w:t xml:space="preserve"> περίπτωση </w:t>
      </w:r>
      <w:proofErr w:type="spellStart"/>
      <w:r w:rsidR="00336EC4" w:rsidRPr="004E7B57">
        <w:t>απομείωσης</w:t>
      </w:r>
      <w:proofErr w:type="spellEnd"/>
      <w:r w:rsidR="00336EC4" w:rsidRPr="004E7B57">
        <w:t xml:space="preserve"> </w:t>
      </w:r>
      <w:r w:rsidR="00C174C0" w:rsidRPr="004E7B57">
        <w:t>τη</w:t>
      </w:r>
      <w:r w:rsidR="005F0C45" w:rsidRPr="004E7B57">
        <w:t>ς</w:t>
      </w:r>
      <w:r w:rsidR="00C174C0" w:rsidRPr="004E7B57">
        <w:t xml:space="preserve"> περ. 2(β)</w:t>
      </w:r>
      <w:r w:rsidR="004C1283" w:rsidRPr="004E7B57">
        <w:t>,</w:t>
      </w:r>
      <w:r w:rsidR="00C174C0" w:rsidRPr="004E7B57">
        <w:t xml:space="preserve"> </w:t>
      </w:r>
      <w:r w:rsidR="00336EC4" w:rsidRPr="004E7B57">
        <w:t xml:space="preserve">ο </w:t>
      </w:r>
      <w:r w:rsidR="00BE4E1D" w:rsidRPr="004E7B57">
        <w:t>Επιλεγείς Συμμετέχων</w:t>
      </w:r>
      <w:r w:rsidR="00336EC4" w:rsidRPr="004E7B57">
        <w:t xml:space="preserve"> </w:t>
      </w:r>
      <w:r w:rsidR="005F0C45" w:rsidRPr="004E7B57">
        <w:t xml:space="preserve"> αντικαθιστά</w:t>
      </w:r>
      <w:r w:rsidR="00336EC4" w:rsidRPr="004E7B57">
        <w:t xml:space="preserve"> την Εγγυητική</w:t>
      </w:r>
      <w:r w:rsidR="00DC2E3E" w:rsidRPr="004E7B57">
        <w:t xml:space="preserve"> Επιστολή Καλής Λειτουργίας</w:t>
      </w:r>
      <w:r w:rsidR="0081578F" w:rsidRPr="004E7B57">
        <w:t xml:space="preserve">, σύμφωνα με τη διαδικασία </w:t>
      </w:r>
      <w:r w:rsidR="00A51389">
        <w:t>της περ.</w:t>
      </w:r>
      <w:r w:rsidR="0081578F" w:rsidRPr="004E7B57">
        <w:t>2(γ)</w:t>
      </w:r>
      <w:r w:rsidR="00DC2E3E" w:rsidRPr="004E7B57">
        <w:t>.</w:t>
      </w:r>
    </w:p>
    <w:p w14:paraId="2DCED31A" w14:textId="15478CD6" w:rsidR="005F0C45" w:rsidRPr="004E7B57" w:rsidRDefault="005F0C45" w:rsidP="00AD2DB3">
      <w:pPr>
        <w:ind w:left="426"/>
      </w:pPr>
      <w:r w:rsidRPr="004E7B57">
        <w:rPr>
          <w:b/>
          <w:bCs/>
        </w:rPr>
        <w:t xml:space="preserve">(γ) </w:t>
      </w:r>
      <w:r w:rsidR="00A045D5" w:rsidRPr="004E7B57">
        <w:t>Η</w:t>
      </w:r>
      <w:r w:rsidRPr="004E7B57">
        <w:t xml:space="preserve"> 2</w:t>
      </w:r>
      <w:r w:rsidR="004A561F" w:rsidRPr="004E7B57">
        <w:rPr>
          <w:vertAlign w:val="superscript"/>
        </w:rPr>
        <w:t>η</w:t>
      </w:r>
      <w:r w:rsidRPr="004E7B57">
        <w:t xml:space="preserve"> Εγγυητική Επιστολή Καλής Λειτουργίας έχει διάρκεια ισχύος εξήντα έξι (66) μηνών από την έκδοσή της και υποβάλλεται στη Ρ.Α.Α.Ε.Υ. το αργότερο δύο (2) μήνες πριν τη λήξη της διάρκειας της 1</w:t>
      </w:r>
      <w:r w:rsidR="004A561F" w:rsidRPr="004E7B57">
        <w:rPr>
          <w:vertAlign w:val="superscript"/>
        </w:rPr>
        <w:t>η</w:t>
      </w:r>
      <w:r w:rsidRPr="004E7B57">
        <w:rPr>
          <w:vertAlign w:val="superscript"/>
        </w:rPr>
        <w:t>ς</w:t>
      </w:r>
      <w:r w:rsidRPr="004E7B57">
        <w:t xml:space="preserve"> Εγγυητικής Επιστολής Καλής Λειτουργίας.</w:t>
      </w:r>
    </w:p>
    <w:p w14:paraId="3C84D426" w14:textId="18269C3D" w:rsidR="00865CF3" w:rsidRPr="004E7B57" w:rsidRDefault="003F6B7D" w:rsidP="00AD2DB3">
      <w:pPr>
        <w:ind w:left="426"/>
      </w:pPr>
      <w:r w:rsidRPr="004E7B57">
        <w:rPr>
          <w:b/>
        </w:rPr>
        <w:t>4</w:t>
      </w:r>
      <w:r w:rsidR="00865CF3" w:rsidRPr="004E7B57">
        <w:rPr>
          <w:b/>
        </w:rPr>
        <w:t xml:space="preserve">. Έκδοση: </w:t>
      </w:r>
      <w:r w:rsidR="00865CF3" w:rsidRPr="004E7B57">
        <w:t>Η Εγγυητική Επιστολή Καλής</w:t>
      </w:r>
      <w:r w:rsidR="00217DF1" w:rsidRPr="004E7B57">
        <w:t xml:space="preserve"> Λειτουργία</w:t>
      </w:r>
      <w:r w:rsidR="00865CF3" w:rsidRPr="004E7B57">
        <w:t>ς εκδίδεται από</w:t>
      </w:r>
      <w:r w:rsidR="00F2748D" w:rsidRPr="004E7B57">
        <w:t xml:space="preserve"> </w:t>
      </w:r>
      <w:r w:rsidR="00865CF3" w:rsidRPr="004E7B57">
        <w:t xml:space="preserve">πιστωτικά ή χρηματοδοτικά </w:t>
      </w:r>
      <w:r w:rsidR="00865CF3" w:rsidRPr="004E7B57">
        <w:lastRenderedPageBreak/>
        <w:t>ιδρύματα ή ασφαλιστικές επιχειρήσεις κατά την έννοια των περιπτώσεων β’ και γ’ της παρ. 1 του άρθρου 14 του ν. 4364/ 2016 (Α’ 13/05.02.2016), που λειτουργούν νόμιμα στην Ελλάδα ή σε άλλα Κράτη - Μέλη της Ευρωπαϊκής Ένωσης ή του Ευρωπαϊκού Οικονομικού Χώρου, τα οποία με βάση το «κοινοτικό διαβατήριο» παρέχουν τις υπηρεσίες της παρ. 1 του άρθρου 11 του ν. 4261/2014 (Α’ 107) και έχουν, σύμφωνα με τις ισχύουσες διατάξεις, το δικαίωμα αυτό. Μπορεί, επίσης, να εκδίδεται από το Ταμείο Μηχανικών Εργοληπτών Δημοσίων Έργων (τ. Ε.Τ.Α.Α. - Τ.Σ.Μ.Ε.Δ.Ε.) ή να παρέχεται με γραμμάτιο του Ταμείου Παρακαταθηκών και Δανείων με παρακατάθεση σε αυτό του αντίστοιχου χρηματικού ποσού. Εγγυήσεις που εκδίδονται σε κράτος εκτός της Ελλάδος, συνοδεύονται υποχρεωτικά, και με ποινή αποκλεισμού, από επίσημη και επικυρωμένη μετάφρασή τους στην ελληνική γλώσσα κατ’ αντιστοιχία του κειμένου της με το Παράρτημα Ε.</w:t>
      </w:r>
    </w:p>
    <w:p w14:paraId="4ECB8348" w14:textId="24A18DAA" w:rsidR="00865CF3" w:rsidRPr="002566EC" w:rsidRDefault="003F6B7D" w:rsidP="00AD2DB3">
      <w:pPr>
        <w:ind w:left="426"/>
        <w:rPr>
          <w:b/>
          <w:bCs/>
        </w:rPr>
      </w:pPr>
      <w:r w:rsidRPr="002566EC">
        <w:rPr>
          <w:b/>
          <w:bCs/>
        </w:rPr>
        <w:t>5</w:t>
      </w:r>
      <w:r w:rsidR="00865CF3" w:rsidRPr="002566EC">
        <w:rPr>
          <w:b/>
          <w:bCs/>
        </w:rPr>
        <w:t>. Κατάπτωση:</w:t>
      </w:r>
    </w:p>
    <w:p w14:paraId="4E6DE677" w14:textId="68CCB854" w:rsidR="00865CF3" w:rsidRPr="004E7B57" w:rsidRDefault="0081578F" w:rsidP="00AD2DB3">
      <w:pPr>
        <w:ind w:left="426"/>
      </w:pPr>
      <w:r w:rsidRPr="004E7B57">
        <w:rPr>
          <w:bCs/>
        </w:rPr>
        <w:t xml:space="preserve">Η </w:t>
      </w:r>
      <w:r w:rsidR="00865CF3" w:rsidRPr="004E7B57">
        <w:t xml:space="preserve">Εγγυητική Επιστολή Καλής Λειτουργίας καταπίπτει </w:t>
      </w:r>
      <w:r w:rsidR="00A51389">
        <w:t xml:space="preserve">λόγω μη τήρησης των υποχρεώσεων </w:t>
      </w:r>
      <w:r w:rsidR="00865CF3" w:rsidRPr="004E7B57">
        <w:t xml:space="preserve">σύμφωνα με τα οριζόμενα </w:t>
      </w:r>
      <w:r w:rsidR="00865CF3" w:rsidRPr="00AD2DB3">
        <w:t>στ</w:t>
      </w:r>
      <w:r w:rsidR="00384311" w:rsidRPr="00AD2DB3">
        <w:t>α</w:t>
      </w:r>
      <w:r w:rsidR="00865CF3" w:rsidRPr="00AD2DB3">
        <w:t xml:space="preserve"> άρθρ</w:t>
      </w:r>
      <w:r w:rsidR="00384311" w:rsidRPr="00AD2DB3">
        <w:t>α</w:t>
      </w:r>
      <w:r w:rsidR="00EC4B0B" w:rsidRPr="00AD2DB3">
        <w:t xml:space="preserve"> 1</w:t>
      </w:r>
      <w:r w:rsidR="00384311" w:rsidRPr="00AD2DB3">
        <w:t>5 και 16</w:t>
      </w:r>
      <w:r w:rsidR="00EC4B0B" w:rsidRPr="00AD2DB3">
        <w:t>.</w:t>
      </w:r>
    </w:p>
    <w:p w14:paraId="40A502A5" w14:textId="77777777" w:rsidR="006C3E9D" w:rsidRPr="002566EC" w:rsidRDefault="00DE2F4D" w:rsidP="00AD2DB3">
      <w:pPr>
        <w:ind w:left="426"/>
        <w:rPr>
          <w:b/>
          <w:bCs/>
        </w:rPr>
      </w:pPr>
      <w:r w:rsidRPr="002566EC">
        <w:rPr>
          <w:b/>
          <w:bCs/>
        </w:rPr>
        <w:t>6</w:t>
      </w:r>
      <w:r w:rsidR="00865CF3" w:rsidRPr="002566EC">
        <w:rPr>
          <w:b/>
          <w:bCs/>
        </w:rPr>
        <w:t xml:space="preserve">. Επιστροφή: </w:t>
      </w:r>
    </w:p>
    <w:p w14:paraId="692F405D" w14:textId="63719B45" w:rsidR="00865CF3" w:rsidRPr="004E7B57" w:rsidRDefault="006C3E9D" w:rsidP="00AD2DB3">
      <w:pPr>
        <w:ind w:left="426"/>
      </w:pPr>
      <w:r w:rsidRPr="004E7B57">
        <w:rPr>
          <w:bCs/>
        </w:rPr>
        <w:t>Υπό την επιφύλαξη κυρώσεων κατά το παρόν άρθρο και το άρθρο 16,</w:t>
      </w:r>
      <w:r w:rsidRPr="004E7B57">
        <w:rPr>
          <w:b/>
        </w:rPr>
        <w:t xml:space="preserve"> </w:t>
      </w:r>
      <w:r w:rsidRPr="004E7B57">
        <w:t>η</w:t>
      </w:r>
      <w:r w:rsidR="00865CF3" w:rsidRPr="004E7B57">
        <w:t xml:space="preserve"> Εγγυητική Επιστολή Καλής Λειτουργίας επιστρέφεται από τη </w:t>
      </w:r>
      <w:r w:rsidR="00CF21E9" w:rsidRPr="004E7B57">
        <w:t>Ρ.Α.Α.Ε.Υ.</w:t>
      </w:r>
      <w:r w:rsidR="00865CF3" w:rsidRPr="004E7B57">
        <w:t>, κα</w:t>
      </w:r>
      <w:r w:rsidR="00E05866" w:rsidRPr="004E7B57">
        <w:t>τ</w:t>
      </w:r>
      <w:r w:rsidR="00865CF3" w:rsidRPr="004E7B57">
        <w:t>όπιν σχετικού αιτήματ</w:t>
      </w:r>
      <w:r w:rsidR="003610D5" w:rsidRPr="004E7B57">
        <w:t>ο</w:t>
      </w:r>
      <w:r w:rsidR="00865CF3" w:rsidRPr="004E7B57">
        <w:t>ς Επιλεγέντος Συμμετέχοντος:</w:t>
      </w:r>
    </w:p>
    <w:p w14:paraId="54C52785" w14:textId="114C9396" w:rsidR="00865CF3" w:rsidRPr="004E7B57" w:rsidRDefault="00865CF3" w:rsidP="00AD2DB3">
      <w:pPr>
        <w:ind w:left="426"/>
      </w:pPr>
      <w:r w:rsidRPr="004E7B57">
        <w:rPr>
          <w:b/>
        </w:rPr>
        <w:t xml:space="preserve">(α) </w:t>
      </w:r>
      <w:r w:rsidR="00336EC4" w:rsidRPr="004E7B57">
        <w:t xml:space="preserve">Σε περίπτωση </w:t>
      </w:r>
      <w:proofErr w:type="spellStart"/>
      <w:r w:rsidR="00336EC4" w:rsidRPr="004E7B57">
        <w:t>απομείωσης</w:t>
      </w:r>
      <w:proofErr w:type="spellEnd"/>
      <w:r w:rsidR="00336EC4" w:rsidRPr="004E7B57">
        <w:t xml:space="preserve"> </w:t>
      </w:r>
      <w:r w:rsidR="00DC696E" w:rsidRPr="004E7B57">
        <w:t xml:space="preserve">κατά την περ. 2(β) </w:t>
      </w:r>
      <w:r w:rsidR="00C174C0" w:rsidRPr="004E7B57">
        <w:t xml:space="preserve">η </w:t>
      </w:r>
      <w:r w:rsidR="00295C17" w:rsidRPr="004E7B57">
        <w:t>1</w:t>
      </w:r>
      <w:r w:rsidR="004A561F" w:rsidRPr="004E7B57">
        <w:rPr>
          <w:vertAlign w:val="superscript"/>
        </w:rPr>
        <w:t>η</w:t>
      </w:r>
      <w:r w:rsidR="00295C17" w:rsidRPr="004E7B57">
        <w:t xml:space="preserve"> </w:t>
      </w:r>
      <w:r w:rsidRPr="004E7B57">
        <w:t xml:space="preserve">Εγγυητική Επιστολή Καλής Λειτουργίας </w:t>
      </w:r>
      <w:r w:rsidR="00C174C0" w:rsidRPr="004E7B57">
        <w:t xml:space="preserve">δύναται να αντικατασταθεί  από </w:t>
      </w:r>
      <w:r w:rsidRPr="004E7B57">
        <w:t>τον</w:t>
      </w:r>
      <w:r w:rsidR="00217DF1" w:rsidRPr="004E7B57">
        <w:t xml:space="preserve"> Επιλεγέντα Συμμετέχοντα</w:t>
      </w:r>
      <w:r w:rsidRPr="004E7B57">
        <w:t>, εφόσον έχει προηγουμένως καταθέσει την</w:t>
      </w:r>
      <w:r w:rsidR="00C174C0" w:rsidRPr="004E7B57">
        <w:t xml:space="preserve"> νέα </w:t>
      </w:r>
      <w:r w:rsidRPr="004E7B57">
        <w:t>Εγγυητική Επιστολή Καλής Λειτουργίας.</w:t>
      </w:r>
    </w:p>
    <w:p w14:paraId="0AC345E1" w14:textId="30BE2C08" w:rsidR="00865CF3" w:rsidRPr="004E7B57" w:rsidRDefault="00865CF3" w:rsidP="00AD2DB3">
      <w:pPr>
        <w:ind w:left="426"/>
        <w:rPr>
          <w:i/>
        </w:rPr>
      </w:pPr>
      <w:r w:rsidRPr="004E7B57">
        <w:rPr>
          <w:b/>
        </w:rPr>
        <w:t xml:space="preserve">(β) </w:t>
      </w:r>
      <w:r w:rsidRPr="004E7B57">
        <w:t xml:space="preserve">Η </w:t>
      </w:r>
      <w:r w:rsidR="00295C17" w:rsidRPr="004E7B57">
        <w:t>2</w:t>
      </w:r>
      <w:r w:rsidR="00295C17" w:rsidRPr="004E7B57">
        <w:rPr>
          <w:vertAlign w:val="superscript"/>
        </w:rPr>
        <w:t>Η</w:t>
      </w:r>
      <w:r w:rsidR="00295C17" w:rsidRPr="004E7B57">
        <w:t xml:space="preserve"> </w:t>
      </w:r>
      <w:r w:rsidRPr="004E7B57">
        <w:t xml:space="preserve">Εγγυητική Επιστολή Καλής Λειτουργίας επιστρέφεται στον </w:t>
      </w:r>
      <w:r w:rsidR="00217DF1" w:rsidRPr="004E7B57">
        <w:t>Επιλεγέντα Συμμετέχοντα</w:t>
      </w:r>
      <w:r w:rsidRPr="004E7B57">
        <w:t xml:space="preserve">, </w:t>
      </w:r>
      <w:r w:rsidR="002156EB" w:rsidRPr="004E7B57">
        <w:t>εντός</w:t>
      </w:r>
      <w:r w:rsidR="00AC35F6" w:rsidRPr="004E7B57">
        <w:t xml:space="preserve"> </w:t>
      </w:r>
      <w:r w:rsidR="00211787" w:rsidRPr="004E7B57">
        <w:t xml:space="preserve">έξι </w:t>
      </w:r>
      <w:r w:rsidR="00AC35F6" w:rsidRPr="004E7B57">
        <w:t>(</w:t>
      </w:r>
      <w:r w:rsidR="00211787" w:rsidRPr="004E7B57">
        <w:t>6</w:t>
      </w:r>
      <w:r w:rsidR="00AC35F6" w:rsidRPr="004E7B57">
        <w:t>) μ</w:t>
      </w:r>
      <w:r w:rsidR="002156EB" w:rsidRPr="004E7B57">
        <w:t>ηνών</w:t>
      </w:r>
      <w:r w:rsidR="00AC35F6" w:rsidRPr="004E7B57">
        <w:t xml:space="preserve"> από τη λήξη της διάρκει</w:t>
      </w:r>
      <w:r w:rsidR="002156EB" w:rsidRPr="004E7B57">
        <w:t>α</w:t>
      </w:r>
      <w:r w:rsidR="00AC35F6" w:rsidRPr="004E7B57">
        <w:t>ς της τελευταίας Ρυθμιστικής Περιόδου, σύμφωνα με την απόφαση Ρ</w:t>
      </w:r>
      <w:r w:rsidR="00E05866" w:rsidRPr="004E7B57">
        <w:t>.</w:t>
      </w:r>
      <w:r w:rsidR="00AC35F6" w:rsidRPr="004E7B57">
        <w:t>Α</w:t>
      </w:r>
      <w:r w:rsidR="00E05866" w:rsidRPr="004E7B57">
        <w:t>.Α.</w:t>
      </w:r>
      <w:r w:rsidR="00AC35F6" w:rsidRPr="004E7B57">
        <w:t>Ε</w:t>
      </w:r>
      <w:r w:rsidR="00E05866" w:rsidRPr="004E7B57">
        <w:t>.Υ.</w:t>
      </w:r>
      <w:r w:rsidR="00AC35F6" w:rsidRPr="004E7B57">
        <w:t xml:space="preserve"> της παρ. 5 του άρθρου 143ΣΤ του ν. 4001/2011.</w:t>
      </w:r>
    </w:p>
    <w:p w14:paraId="005C6CA2" w14:textId="706802B6" w:rsidR="00865CF3" w:rsidRDefault="00DE2F4D" w:rsidP="00AD2DB3">
      <w:pPr>
        <w:ind w:left="426"/>
      </w:pPr>
      <w:r w:rsidRPr="004E7B57">
        <w:rPr>
          <w:b/>
        </w:rPr>
        <w:t>7</w:t>
      </w:r>
      <w:r w:rsidR="00865CF3" w:rsidRPr="004E7B57">
        <w:rPr>
          <w:b/>
        </w:rPr>
        <w:t>. Παράταση διάρκειας</w:t>
      </w:r>
      <w:r w:rsidR="00865CF3" w:rsidRPr="004E7B57">
        <w:t>:</w:t>
      </w:r>
      <w:r w:rsidR="00725EEA" w:rsidRPr="004E7B57">
        <w:t xml:space="preserve"> Η διάρκεια ισχύος της  </w:t>
      </w:r>
      <w:r w:rsidR="00A045D5" w:rsidRPr="004E7B57">
        <w:t>2</w:t>
      </w:r>
      <w:r w:rsidR="004A561F" w:rsidRPr="004E7B57">
        <w:rPr>
          <w:vertAlign w:val="superscript"/>
        </w:rPr>
        <w:t>η</w:t>
      </w:r>
      <w:r w:rsidR="00A045D5" w:rsidRPr="004E7B57">
        <w:rPr>
          <w:vertAlign w:val="superscript"/>
        </w:rPr>
        <w:t>ς</w:t>
      </w:r>
      <w:r w:rsidR="00A045D5" w:rsidRPr="004E7B57">
        <w:t xml:space="preserve"> </w:t>
      </w:r>
      <w:r w:rsidR="00725EEA" w:rsidRPr="004E7B57">
        <w:t xml:space="preserve">Εγγυητικής Επιστολής Καλής Λειτουργίας </w:t>
      </w:r>
      <w:r w:rsidR="00865CF3" w:rsidRPr="004E7B57">
        <w:t xml:space="preserve">παρατείνεται για όσο χρονικό διάστημα </w:t>
      </w:r>
      <w:r w:rsidR="00725EEA" w:rsidRPr="004E7B57">
        <w:t>απαιτείται προκειμένου να ολοκληρωθ</w:t>
      </w:r>
      <w:r w:rsidR="00956C01" w:rsidRPr="004E7B57">
        <w:t xml:space="preserve">ούν οι χρεοπιστώσεις </w:t>
      </w:r>
      <w:r w:rsidR="00725EEA" w:rsidRPr="004E7B57">
        <w:t xml:space="preserve"> </w:t>
      </w:r>
      <w:r w:rsidR="00956C01" w:rsidRPr="004E7B57">
        <w:t>τ</w:t>
      </w:r>
      <w:r w:rsidR="00725EEA" w:rsidRPr="004E7B57">
        <w:t>η</w:t>
      </w:r>
      <w:r w:rsidR="00956C01" w:rsidRPr="004E7B57">
        <w:t>ς</w:t>
      </w:r>
      <w:r w:rsidR="00725EEA" w:rsidRPr="004E7B57">
        <w:t xml:space="preserve"> εκκαθάριση</w:t>
      </w:r>
      <w:r w:rsidR="00956C01" w:rsidRPr="004E7B57">
        <w:t>ς</w:t>
      </w:r>
      <w:r w:rsidR="00725EEA" w:rsidRPr="004E7B57">
        <w:t xml:space="preserve"> της τελευταίας Ρυθμιστικής Περιόδου της Περιόδου Ενίσχυσης, εφόσον αυτή δεν ολοκληρωθεί στο διάστημα των 6 μηνών που προβλέπει η απόφαση Ρ</w:t>
      </w:r>
      <w:r w:rsidR="00E05866" w:rsidRPr="004E7B57">
        <w:t>.</w:t>
      </w:r>
      <w:r w:rsidR="00725EEA" w:rsidRPr="004E7B57">
        <w:t>Α</w:t>
      </w:r>
      <w:r w:rsidR="00E05866" w:rsidRPr="004E7B57">
        <w:t>.Α.</w:t>
      </w:r>
      <w:r w:rsidR="00725EEA" w:rsidRPr="004E7B57">
        <w:t>Ε</w:t>
      </w:r>
      <w:r w:rsidR="00E05866" w:rsidRPr="004E7B57">
        <w:t>.Υ.</w:t>
      </w:r>
      <w:r w:rsidR="00725EEA" w:rsidRPr="004E7B57">
        <w:t xml:space="preserve"> της παρ. 5 του άρθρου 143ΣΤ του ν. 4001/2011</w:t>
      </w:r>
      <w:r w:rsidR="00865CF3" w:rsidRPr="004E7B57">
        <w:t>.</w:t>
      </w:r>
    </w:p>
    <w:p w14:paraId="2586FC33" w14:textId="77777777" w:rsidR="00AE0827" w:rsidRDefault="00AE0827" w:rsidP="002566EC"/>
    <w:p w14:paraId="40057B6A" w14:textId="454C6084" w:rsidR="00B51069" w:rsidRPr="00384311" w:rsidRDefault="00B51069" w:rsidP="00A23B1E">
      <w:pPr>
        <w:rPr>
          <w:bCs/>
        </w:rPr>
      </w:pPr>
      <w:r w:rsidRPr="004E7B57">
        <w:rPr>
          <w:b/>
        </w:rPr>
        <w:t>1</w:t>
      </w:r>
      <w:r w:rsidR="00274AEC" w:rsidRPr="004E7B57">
        <w:rPr>
          <w:b/>
        </w:rPr>
        <w:t>1</w:t>
      </w:r>
      <w:r w:rsidRPr="004E7B57">
        <w:rPr>
          <w:b/>
        </w:rPr>
        <w:t>.</w:t>
      </w:r>
      <w:r w:rsidR="00A23B1E">
        <w:rPr>
          <w:b/>
        </w:rPr>
        <w:t>4</w:t>
      </w:r>
      <w:r w:rsidR="00DE2F4D" w:rsidRPr="004E7B57">
        <w:rPr>
          <w:b/>
        </w:rPr>
        <w:t>.</w:t>
      </w:r>
      <w:r w:rsidRPr="004E7B57">
        <w:rPr>
          <w:b/>
        </w:rPr>
        <w:t xml:space="preserve"> «Οικονομική Προσφορά» </w:t>
      </w:r>
      <w:r w:rsidR="00733E81">
        <w:t>η</w:t>
      </w:r>
      <w:r w:rsidR="00733E81" w:rsidRPr="004E7B57">
        <w:t xml:space="preserve"> </w:t>
      </w:r>
      <w:r w:rsidR="00DE2F4D" w:rsidRPr="004E7B57">
        <w:t xml:space="preserve">οποία αποτυπώνεται σε ευρώ ανά μεγαβάτ </w:t>
      </w:r>
      <w:r w:rsidR="00FC6982" w:rsidRPr="004E7B57">
        <w:t xml:space="preserve">Ισχύος Συμμετοχής </w:t>
      </w:r>
      <w:r w:rsidR="00DE2F4D" w:rsidRPr="004E7B57">
        <w:t>ανά έτος (€/MW/έτος) και αντιστοιχεί στο ετήσιο Έσοδο Αναφοράς του Σ.Α.Η.Ε.,</w:t>
      </w:r>
      <w:r w:rsidRPr="004E7B57">
        <w:t xml:space="preserve"> </w:t>
      </w:r>
      <w:r w:rsidR="00A23B1E">
        <w:t xml:space="preserve">και </w:t>
      </w:r>
      <w:r w:rsidRPr="004E7B57">
        <w:t>η οποία αποτυπώνεται στον συνοπτικό πίνακα βασικών στοιχείων προσφοράς του Παραρτήματο</w:t>
      </w:r>
      <w:r w:rsidR="00DE2F4D" w:rsidRPr="004E7B57">
        <w:t>ς Β</w:t>
      </w:r>
      <w:r w:rsidR="00041C44" w:rsidRPr="004E7B57">
        <w:t>2</w:t>
      </w:r>
      <w:r w:rsidR="00F2748D" w:rsidRPr="004E7B57">
        <w:t xml:space="preserve"> </w:t>
      </w:r>
      <w:r w:rsidRPr="003F0DAE">
        <w:rPr>
          <w:bCs/>
        </w:rPr>
        <w:t xml:space="preserve">ο οποίος (πίνακας) φέρει επί ποινή αποκλεισμού θεώρηση του γνησίου της υπογραφής του υπογράφοντος </w:t>
      </w:r>
      <w:r w:rsidRPr="00384311">
        <w:rPr>
          <w:bCs/>
        </w:rPr>
        <w:t>προσώπου</w:t>
      </w:r>
      <w:r w:rsidR="00A23B1E" w:rsidRPr="00384311">
        <w:rPr>
          <w:bCs/>
        </w:rPr>
        <w:t xml:space="preserve"> μέσω της </w:t>
      </w:r>
      <w:r w:rsidR="00A23B1E" w:rsidRPr="00384311">
        <w:t xml:space="preserve">ηλεκτρονικής πλατφόρμας </w:t>
      </w:r>
      <w:hyperlink r:id="rId17" w:history="1">
        <w:r w:rsidR="00A23B1E" w:rsidRPr="00384311">
          <w:rPr>
            <w:rStyle w:val="-"/>
            <w:lang w:val="en-US"/>
          </w:rPr>
          <w:t>www</w:t>
        </w:r>
        <w:r w:rsidR="00A23B1E" w:rsidRPr="00384311">
          <w:rPr>
            <w:rStyle w:val="-"/>
          </w:rPr>
          <w:t>.gov.gr</w:t>
        </w:r>
      </w:hyperlink>
      <w:r w:rsidR="00A23B1E" w:rsidRPr="00384311">
        <w:rPr>
          <w:bCs/>
        </w:rPr>
        <w:t xml:space="preserve"> ή από αρμόδια αρχή. </w:t>
      </w:r>
    </w:p>
    <w:p w14:paraId="6AA8BBE1" w14:textId="767AD0B3" w:rsidR="00B51069" w:rsidRPr="00384311" w:rsidRDefault="00733E81" w:rsidP="00E76414">
      <w:pPr>
        <w:pStyle w:val="a3"/>
        <w:rPr>
          <w:sz w:val="22"/>
          <w:szCs w:val="22"/>
        </w:rPr>
      </w:pPr>
      <w:r w:rsidRPr="00384311">
        <w:rPr>
          <w:sz w:val="22"/>
          <w:szCs w:val="22"/>
        </w:rPr>
        <w:t>Η Προσφορά δεν επιτρέπεται να εξαρτάται από αιρέσεις ή προθεσμίες.</w:t>
      </w:r>
    </w:p>
    <w:p w14:paraId="619DB2AF" w14:textId="77777777" w:rsidR="00733E81" w:rsidRPr="004E7B57" w:rsidRDefault="00733E81" w:rsidP="00E76414">
      <w:pPr>
        <w:pStyle w:val="a3"/>
      </w:pPr>
    </w:p>
    <w:p w14:paraId="78B36D72" w14:textId="1FD98C8C" w:rsidR="000546D5" w:rsidRPr="004E7B57" w:rsidRDefault="00865CF3" w:rsidP="00E76414">
      <w:r w:rsidRPr="004E7B57">
        <w:rPr>
          <w:b/>
        </w:rPr>
        <w:t>1</w:t>
      </w:r>
      <w:r w:rsidR="007E3CBF" w:rsidRPr="004E7B57">
        <w:rPr>
          <w:b/>
        </w:rPr>
        <w:t>1</w:t>
      </w:r>
      <w:r w:rsidRPr="004E7B57">
        <w:rPr>
          <w:b/>
        </w:rPr>
        <w:t>.</w:t>
      </w:r>
      <w:r w:rsidR="00A23B1E">
        <w:rPr>
          <w:b/>
        </w:rPr>
        <w:t>5</w:t>
      </w:r>
      <w:r w:rsidR="0088015A" w:rsidRPr="004E7B57">
        <w:rPr>
          <w:b/>
        </w:rPr>
        <w:t>.</w:t>
      </w:r>
      <w:r w:rsidRPr="004E7B57">
        <w:rPr>
          <w:b/>
        </w:rPr>
        <w:t xml:space="preserve"> </w:t>
      </w:r>
      <w:r w:rsidR="00856EDC" w:rsidRPr="004E7B57">
        <w:rPr>
          <w:b/>
        </w:rPr>
        <w:t xml:space="preserve">«Τεχνική Προσφορά» </w:t>
      </w:r>
      <w:r w:rsidR="00856EDC" w:rsidRPr="004E7B57">
        <w:t>περιλαμβάνει τα κάτωθι στοιχεία:</w:t>
      </w:r>
    </w:p>
    <w:p w14:paraId="6DFA682D" w14:textId="125EC030" w:rsidR="00173D5C" w:rsidRDefault="00B51069" w:rsidP="00173D5C">
      <w:pPr>
        <w:ind w:left="426"/>
      </w:pPr>
      <w:r w:rsidRPr="004E7B57">
        <w:rPr>
          <w:b/>
          <w:bCs/>
        </w:rPr>
        <w:t>1</w:t>
      </w:r>
      <w:r w:rsidR="00274AEC" w:rsidRPr="004E7B57">
        <w:rPr>
          <w:b/>
          <w:bCs/>
        </w:rPr>
        <w:t>1</w:t>
      </w:r>
      <w:r w:rsidRPr="004E7B57">
        <w:rPr>
          <w:b/>
          <w:bCs/>
        </w:rPr>
        <w:t>.</w:t>
      </w:r>
      <w:r w:rsidR="00A23B1E">
        <w:rPr>
          <w:b/>
          <w:bCs/>
        </w:rPr>
        <w:t>5</w:t>
      </w:r>
      <w:r w:rsidRPr="004E7B57">
        <w:rPr>
          <w:b/>
          <w:bCs/>
        </w:rPr>
        <w:t>.</w:t>
      </w:r>
      <w:r w:rsidR="00CE5DF2">
        <w:rPr>
          <w:b/>
          <w:bCs/>
        </w:rPr>
        <w:t>1</w:t>
      </w:r>
      <w:r w:rsidR="00CE5DF2" w:rsidRPr="004E7B57">
        <w:rPr>
          <w:b/>
          <w:bCs/>
        </w:rPr>
        <w:t xml:space="preserve"> </w:t>
      </w:r>
      <w:r w:rsidR="00856EDC" w:rsidRPr="004E7B57">
        <w:t xml:space="preserve">Τεχνική περιγραφή </w:t>
      </w:r>
      <w:r w:rsidR="00173D5C">
        <w:t xml:space="preserve">του Σ.Α.Η.Ε. και </w:t>
      </w:r>
      <w:r w:rsidR="00CE5DF2">
        <w:t>τεκμηρίωση</w:t>
      </w:r>
      <w:r w:rsidR="00173D5C">
        <w:t xml:space="preserve"> </w:t>
      </w:r>
      <w:r w:rsidR="00CE5DF2">
        <w:t>των απαιτήσεων</w:t>
      </w:r>
      <w:r w:rsidR="00173D5C">
        <w:t xml:space="preserve"> της</w:t>
      </w:r>
      <w:r w:rsidR="00173D5C" w:rsidRPr="004E7B57">
        <w:t xml:space="preserve"> </w:t>
      </w:r>
      <w:r w:rsidR="00173D5C" w:rsidRPr="00AD2DB3">
        <w:t xml:space="preserve">παρ. </w:t>
      </w:r>
      <w:r w:rsidR="00384311" w:rsidRPr="00AD2DB3">
        <w:t>1</w:t>
      </w:r>
      <w:r w:rsidR="00AD2DB3" w:rsidRPr="00AD2DB3">
        <w:t>5</w:t>
      </w:r>
      <w:r w:rsidR="00384311" w:rsidRPr="00AD2DB3">
        <w:t>.2 (γ)</w:t>
      </w:r>
      <w:r w:rsidR="00173D5C" w:rsidRPr="004E7B57">
        <w:t xml:space="preserve"> της Προκήρυξης</w:t>
      </w:r>
      <w:r w:rsidR="00CE5DF2">
        <w:t xml:space="preserve"> όσον αφορά τις τεχνολογίες αποθήκευσης εκτός συσσωρευτών ιόντων </w:t>
      </w:r>
      <w:proofErr w:type="spellStart"/>
      <w:r w:rsidR="00CE5DF2">
        <w:t>λιθίου</w:t>
      </w:r>
      <w:proofErr w:type="spellEnd"/>
      <w:r w:rsidR="00CE5DF2">
        <w:t xml:space="preserve"> και </w:t>
      </w:r>
      <w:proofErr w:type="spellStart"/>
      <w:r w:rsidR="00CE5DF2">
        <w:t>αντλησιοταμίευσης</w:t>
      </w:r>
      <w:proofErr w:type="spellEnd"/>
      <w:r w:rsidR="00CE5DF2">
        <w:t xml:space="preserve">. </w:t>
      </w:r>
    </w:p>
    <w:p w14:paraId="5A55C6EE" w14:textId="43C34028" w:rsidR="003110FE" w:rsidRPr="003110FE" w:rsidRDefault="003110FE" w:rsidP="003110FE">
      <w:pPr>
        <w:ind w:left="426"/>
      </w:pPr>
      <w:r>
        <w:rPr>
          <w:b/>
          <w:bCs/>
        </w:rPr>
        <w:t>11.</w:t>
      </w:r>
      <w:r w:rsidR="00A23B1E">
        <w:rPr>
          <w:b/>
          <w:bCs/>
        </w:rPr>
        <w:t>5</w:t>
      </w:r>
      <w:r>
        <w:rPr>
          <w:b/>
          <w:bCs/>
        </w:rPr>
        <w:t xml:space="preserve">.2. </w:t>
      </w:r>
      <w:r w:rsidRPr="003F0DAE">
        <w:t xml:space="preserve">Σε περίπτωση αιτήματος </w:t>
      </w:r>
      <w:r w:rsidR="00A23B1E">
        <w:t>τροποποίησης (</w:t>
      </w:r>
      <w:r w:rsidRPr="003F0DAE">
        <w:t>μείωση</w:t>
      </w:r>
      <w:r w:rsidR="00A23B1E">
        <w:t>ς</w:t>
      </w:r>
      <w:r w:rsidRPr="003F0DAE">
        <w:t xml:space="preserve"> ισχύος ή/και χωρητικότητας</w:t>
      </w:r>
      <w:r w:rsidR="00A23B1E">
        <w:t>)</w:t>
      </w:r>
      <w:r w:rsidRPr="003F0DAE">
        <w:t xml:space="preserve"> ή κατάτμησης υποβάλλονται τα προβλεπόμενα στο άρθρο 132ΣΤ του ν. 4001/2011 έγγραφα.</w:t>
      </w:r>
    </w:p>
    <w:p w14:paraId="19C8A9F0" w14:textId="35DE42A5" w:rsidR="00B51069" w:rsidRPr="004E7B57" w:rsidRDefault="00173D5C" w:rsidP="002566EC">
      <w:pPr>
        <w:ind w:left="426"/>
        <w:rPr>
          <w:b/>
          <w:bCs/>
        </w:rPr>
      </w:pPr>
      <w:r w:rsidRPr="003F0DAE">
        <w:rPr>
          <w:b/>
          <w:bCs/>
        </w:rPr>
        <w:t>11.</w:t>
      </w:r>
      <w:r w:rsidR="00A23B1E">
        <w:rPr>
          <w:b/>
          <w:bCs/>
        </w:rPr>
        <w:t>5</w:t>
      </w:r>
      <w:r w:rsidR="003110FE">
        <w:rPr>
          <w:b/>
          <w:bCs/>
        </w:rPr>
        <w:t>.3</w:t>
      </w:r>
      <w:r w:rsidRPr="003F0DAE">
        <w:rPr>
          <w:b/>
          <w:bCs/>
        </w:rPr>
        <w:t>.</w:t>
      </w:r>
      <w:r>
        <w:t xml:space="preserve"> Υ</w:t>
      </w:r>
      <w:r w:rsidRPr="004E7B57">
        <w:t>πεύθυν</w:t>
      </w:r>
      <w:r>
        <w:t>ες</w:t>
      </w:r>
      <w:r w:rsidRPr="004E7B57">
        <w:t xml:space="preserve"> </w:t>
      </w:r>
      <w:r>
        <w:t>Δηλώσεις</w:t>
      </w:r>
      <w:r w:rsidR="00A0084D" w:rsidRPr="004E7B57">
        <w:t xml:space="preserve"> περί </w:t>
      </w:r>
      <w:r w:rsidR="00856EDC" w:rsidRPr="004E7B57">
        <w:t xml:space="preserve">συμμόρφωσης με τις </w:t>
      </w:r>
      <w:r>
        <w:t xml:space="preserve">τεχνικές υποχρεώσεις, προδιαγραφές και </w:t>
      </w:r>
      <w:r w:rsidR="00856EDC" w:rsidRPr="004E7B57">
        <w:t xml:space="preserve">απαιτήσεις, όπως αυτές ορίζονται στο </w:t>
      </w:r>
      <w:r w:rsidR="00856EDC" w:rsidRPr="00AD2DB3">
        <w:t xml:space="preserve">Παράρτημα </w:t>
      </w:r>
      <w:r w:rsidR="00C92ADE" w:rsidRPr="00AD2DB3">
        <w:t>Η</w:t>
      </w:r>
      <w:r w:rsidR="002677A3" w:rsidRPr="00AD2DB3">
        <w:t>, σύμφωνα με τα υποδείγματα των Υπευθύνων Δηλώσεων του Παραρτήματος Θ.</w:t>
      </w:r>
      <w:r w:rsidR="00856EDC" w:rsidRPr="004E7B57">
        <w:t xml:space="preserve"> </w:t>
      </w:r>
    </w:p>
    <w:p w14:paraId="7E836664" w14:textId="10228500" w:rsidR="000546D5" w:rsidRPr="004E7B57" w:rsidRDefault="00B51069" w:rsidP="002566EC">
      <w:pPr>
        <w:ind w:left="426"/>
      </w:pPr>
      <w:r w:rsidRPr="004E7B57">
        <w:rPr>
          <w:b/>
          <w:bCs/>
        </w:rPr>
        <w:t>1</w:t>
      </w:r>
      <w:r w:rsidR="00274AEC" w:rsidRPr="004E7B57">
        <w:rPr>
          <w:b/>
          <w:bCs/>
        </w:rPr>
        <w:t>1</w:t>
      </w:r>
      <w:r w:rsidRPr="004E7B57">
        <w:rPr>
          <w:b/>
          <w:bCs/>
        </w:rPr>
        <w:t>.</w:t>
      </w:r>
      <w:r w:rsidR="00A23B1E">
        <w:rPr>
          <w:b/>
          <w:bCs/>
        </w:rPr>
        <w:t>5</w:t>
      </w:r>
      <w:r w:rsidRPr="004E7B57">
        <w:rPr>
          <w:b/>
          <w:bCs/>
        </w:rPr>
        <w:t>.</w:t>
      </w:r>
      <w:r w:rsidR="003110FE">
        <w:rPr>
          <w:b/>
          <w:bCs/>
        </w:rPr>
        <w:t>4</w:t>
      </w:r>
      <w:r w:rsidR="00CE5DF2" w:rsidRPr="004E7B57">
        <w:rPr>
          <w:b/>
          <w:bCs/>
        </w:rPr>
        <w:t xml:space="preserve"> </w:t>
      </w:r>
      <w:r w:rsidR="00856EDC" w:rsidRPr="004E7B57">
        <w:t>Αναλυτικό χρονοδιάγραμμα υλοποίησης του</w:t>
      </w:r>
      <w:r w:rsidR="00B35460" w:rsidRPr="004E7B57">
        <w:t xml:space="preserve"> </w:t>
      </w:r>
      <w:r w:rsidR="0051228D" w:rsidRPr="004E7B57">
        <w:t>Σ.Α.Η.Ε</w:t>
      </w:r>
      <w:r w:rsidR="00856EDC" w:rsidRPr="004E7B57">
        <w:t>.</w:t>
      </w:r>
    </w:p>
    <w:p w14:paraId="518149E4" w14:textId="23E99E40" w:rsidR="00CE5DF2" w:rsidRDefault="00CE5DF2" w:rsidP="00173D5C">
      <w:pPr>
        <w:ind w:left="426"/>
      </w:pPr>
      <w:r>
        <w:rPr>
          <w:b/>
          <w:bCs/>
        </w:rPr>
        <w:lastRenderedPageBreak/>
        <w:t>11.</w:t>
      </w:r>
      <w:r w:rsidR="00750B04">
        <w:rPr>
          <w:b/>
          <w:bCs/>
        </w:rPr>
        <w:t>5</w:t>
      </w:r>
      <w:r>
        <w:rPr>
          <w:b/>
          <w:bCs/>
        </w:rPr>
        <w:t>.</w:t>
      </w:r>
      <w:r w:rsidR="003110FE">
        <w:rPr>
          <w:b/>
          <w:bCs/>
        </w:rPr>
        <w:t>5</w:t>
      </w:r>
      <w:r>
        <w:rPr>
          <w:b/>
          <w:bCs/>
        </w:rPr>
        <w:t xml:space="preserve">. </w:t>
      </w:r>
      <w:r w:rsidRPr="003F0DAE">
        <w:t xml:space="preserve">Λοιπά στοιχεία </w:t>
      </w:r>
      <w:proofErr w:type="spellStart"/>
      <w:r w:rsidRPr="003F0DAE">
        <w:t>αδειοδοτικής</w:t>
      </w:r>
      <w:proofErr w:type="spellEnd"/>
      <w:r w:rsidRPr="003F0DAE">
        <w:t xml:space="preserve"> ωριμότητας, εφόσον υπάρχουν</w:t>
      </w:r>
      <w:r>
        <w:t xml:space="preserve"> (π.χ. έγκριση περιβαλλοντικών όρων, </w:t>
      </w:r>
      <w:r w:rsidR="009A2353">
        <w:t>αίτημα</w:t>
      </w:r>
      <w:r>
        <w:t xml:space="preserve"> για έκδοση όρων σύνδεσης από τον Διαχειριστή του Ε.Σ.Μ.Η.Ε. και Οριστική Προσφορά Σύνδεσης). </w:t>
      </w:r>
    </w:p>
    <w:p w14:paraId="38FFBF48" w14:textId="77777777" w:rsidR="000546D5" w:rsidRPr="004E7B57" w:rsidRDefault="000546D5" w:rsidP="00E76414">
      <w:pPr>
        <w:pStyle w:val="a3"/>
      </w:pPr>
    </w:p>
    <w:p w14:paraId="05C881F4" w14:textId="3EE3B5CA" w:rsidR="000546D5" w:rsidRDefault="00B51069" w:rsidP="002566EC">
      <w:r w:rsidRPr="004E7B57">
        <w:rPr>
          <w:b/>
          <w:bCs/>
        </w:rPr>
        <w:t>1</w:t>
      </w:r>
      <w:r w:rsidR="00422BF5" w:rsidRPr="004E7B57">
        <w:rPr>
          <w:b/>
          <w:bCs/>
        </w:rPr>
        <w:t>1</w:t>
      </w:r>
      <w:r w:rsidRPr="004E7B57">
        <w:rPr>
          <w:b/>
          <w:bCs/>
        </w:rPr>
        <w:t>.</w:t>
      </w:r>
      <w:r w:rsidR="009A2353">
        <w:rPr>
          <w:b/>
          <w:bCs/>
        </w:rPr>
        <w:t>6</w:t>
      </w:r>
      <w:r w:rsidR="0088015A" w:rsidRPr="004E7B57">
        <w:rPr>
          <w:b/>
          <w:bCs/>
        </w:rPr>
        <w:t>.</w:t>
      </w:r>
      <w:r w:rsidRPr="004E7B57">
        <w:t xml:space="preserve"> </w:t>
      </w:r>
      <w:r w:rsidR="00856EDC" w:rsidRPr="004E7B57">
        <w:t xml:space="preserve">Η </w:t>
      </w:r>
      <w:r w:rsidR="00CF21E9" w:rsidRPr="004E7B57">
        <w:t>Ρ.Α.Α.Ε.Υ.</w:t>
      </w:r>
      <w:r w:rsidR="00856EDC" w:rsidRPr="004E7B57">
        <w:t xml:space="preserve"> δύναται να ζητήσει από οποιονδήποτε Συμμετέχοντα την υποβολή διευκρινιστικών στοιχείων, τα οποία απαιτείται να υποβάλλονται ηλεκτρονικά εντός δύο (2) εργάσιμων ημερών, από την ημέρα που ζητηθεί η υποβολή τους. Σε περίπτωση που ο Συμμετέχων δεν προσκομίσει τα ως άνω διευκρινιστικά στοιχεία εντός της ως άνω προθεσμίας, η συμμετοχή του και τα δικαιολογητικά συμμετοχής που υπέβαλε ενδέχεται να θεωρηθούν ελλιπή και να αποκλειστεί από την Ανταγωνιστική Διαδικασία.</w:t>
      </w:r>
    </w:p>
    <w:p w14:paraId="68ECE52D" w14:textId="77777777" w:rsidR="00733E81" w:rsidRDefault="00733E81" w:rsidP="002566EC"/>
    <w:p w14:paraId="352BABB8" w14:textId="5EC6E6A5" w:rsidR="00733E81" w:rsidRPr="00733E81" w:rsidRDefault="00733E81" w:rsidP="00CA1666">
      <w:r w:rsidRPr="00384311">
        <w:rPr>
          <w:b/>
          <w:bCs/>
        </w:rPr>
        <w:t>11.</w:t>
      </w:r>
      <w:r w:rsidR="00CA1666" w:rsidRPr="00384311">
        <w:rPr>
          <w:b/>
          <w:bCs/>
        </w:rPr>
        <w:t>7</w:t>
      </w:r>
      <w:r w:rsidRPr="00384311">
        <w:rPr>
          <w:b/>
          <w:bCs/>
        </w:rPr>
        <w:t>.</w:t>
      </w:r>
      <w:r>
        <w:t xml:space="preserve"> </w:t>
      </w:r>
      <w:r w:rsidR="00CA1666">
        <w:t>Σημειώνεται ότι, η</w:t>
      </w:r>
      <w:r w:rsidRPr="00733E81">
        <w:t xml:space="preserve"> Αίτηση Συμμετοχής – Υπεύθυνη Δήλωση </w:t>
      </w:r>
      <w:r w:rsidRPr="00D3106F">
        <w:t xml:space="preserve">της παρ. </w:t>
      </w:r>
      <w:r w:rsidR="002677A3" w:rsidRPr="00D3106F">
        <w:t>11.2.</w:t>
      </w:r>
      <w:r w:rsidRPr="00D3106F">
        <w:t xml:space="preserve">, η Οικονομική Προσφορά της παρ. </w:t>
      </w:r>
      <w:r w:rsidR="002677A3" w:rsidRPr="00D3106F">
        <w:t>11.4.</w:t>
      </w:r>
      <w:r w:rsidRPr="00D3106F">
        <w:t xml:space="preserve"> και </w:t>
      </w:r>
      <w:r w:rsidR="00CA1666" w:rsidRPr="00D3106F">
        <w:t>οι</w:t>
      </w:r>
      <w:r w:rsidRPr="00D3106F">
        <w:t xml:space="preserve"> Υπεύθυν</w:t>
      </w:r>
      <w:r w:rsidR="00CA1666" w:rsidRPr="00D3106F">
        <w:t>ες</w:t>
      </w:r>
      <w:r w:rsidRPr="00D3106F">
        <w:t xml:space="preserve"> </w:t>
      </w:r>
      <w:r w:rsidR="00CA1666" w:rsidRPr="00D3106F">
        <w:t xml:space="preserve">Δηλώσεις </w:t>
      </w:r>
      <w:r w:rsidRPr="00D3106F">
        <w:t xml:space="preserve">της παρ. </w:t>
      </w:r>
      <w:r w:rsidR="002677A3" w:rsidRPr="00D3106F">
        <w:t>11.5.3</w:t>
      </w:r>
      <w:r w:rsidRPr="00733E81">
        <w:t xml:space="preserve"> αποτελούν τα μοναδικά δικαιολογητικά, που θα πρέπει να φέρουν επί ποινή αποκλεισμού θεώρηση του γνήσιου της υπογραφής του υπογράφοντος προσώπου από </w:t>
      </w:r>
      <w:r w:rsidR="00CA1666">
        <w:t xml:space="preserve">την </w:t>
      </w:r>
      <w:r w:rsidR="00CA1666" w:rsidRPr="00CA1666">
        <w:t xml:space="preserve">ηλεκτρονική πλατφόρμα </w:t>
      </w:r>
      <w:r w:rsidR="00CA1666">
        <w:rPr>
          <w:lang w:val="en-US"/>
        </w:rPr>
        <w:t>www</w:t>
      </w:r>
      <w:r w:rsidR="00CA1666" w:rsidRPr="003F0DAE">
        <w:t>.</w:t>
      </w:r>
      <w:r w:rsidR="00CA1666" w:rsidRPr="00CA1666">
        <w:t xml:space="preserve">gov.gr, </w:t>
      </w:r>
      <w:r w:rsidR="00CA1666">
        <w:t xml:space="preserve">ή </w:t>
      </w:r>
      <w:r w:rsidRPr="00733E81">
        <w:t xml:space="preserve">οποιαδήποτε Διοικητική ή Αστυνομική Αρχή ή Κ.Ε.Π., σύμφωνα με τις διατάξεις του άρθρου 11 του ν. 2690/1999 (ΦΕΚ Α’ 45), όπως ισχύει. </w:t>
      </w:r>
    </w:p>
    <w:p w14:paraId="3D43F3B2" w14:textId="77777777" w:rsidR="00733E81" w:rsidRDefault="00733E81" w:rsidP="002566EC"/>
    <w:p w14:paraId="350062F2" w14:textId="130580FE" w:rsidR="009C4570" w:rsidRPr="004E7B57" w:rsidRDefault="009C4570" w:rsidP="009C4570">
      <w:r w:rsidRPr="00384311">
        <w:rPr>
          <w:b/>
          <w:bCs/>
        </w:rPr>
        <w:t>11.</w:t>
      </w:r>
      <w:r w:rsidR="00CA1666" w:rsidRPr="00384311">
        <w:rPr>
          <w:b/>
          <w:bCs/>
        </w:rPr>
        <w:t>8</w:t>
      </w:r>
      <w:r w:rsidRPr="00384311">
        <w:rPr>
          <w:b/>
          <w:bCs/>
        </w:rPr>
        <w:t>.</w:t>
      </w:r>
      <w:r>
        <w:t xml:space="preserve"> Ως</w:t>
      </w:r>
      <w:r w:rsidRPr="009C4570">
        <w:t xml:space="preserve"> </w:t>
      </w:r>
      <w:r w:rsidR="00CA1666">
        <w:t xml:space="preserve">προς την Εγγυητική Επιστολή Συμμετοχής </w:t>
      </w:r>
      <w:r w:rsidRPr="009C4570">
        <w:t xml:space="preserve">ο φορέας έκδοσης αυτής αποστέλλει στη </w:t>
      </w:r>
      <w:r w:rsidR="00E3119B">
        <w:t>Ρ.Α.Α.Ε.Υ.</w:t>
      </w:r>
      <w:r w:rsidRPr="009C4570">
        <w:t xml:space="preserve">, επί ποινή αποκλεισμού, αντίγραφο αυτής μέσω ηλεκτρονικού ταχυδρομείου (e – </w:t>
      </w:r>
      <w:proofErr w:type="spellStart"/>
      <w:r w:rsidRPr="009C4570">
        <w:t>mail</w:t>
      </w:r>
      <w:proofErr w:type="spellEnd"/>
      <w:r w:rsidRPr="009C4570">
        <w:t xml:space="preserve">) στην ηλεκτρονική διεύθυνση </w:t>
      </w:r>
      <w:hyperlink r:id="rId18" w:history="1">
        <w:r w:rsidRPr="009C4570">
          <w:rPr>
            <w:rStyle w:val="-"/>
          </w:rPr>
          <w:t>guarantee@rae.gr</w:t>
        </w:r>
      </w:hyperlink>
      <w:r w:rsidRPr="009C4570">
        <w:t xml:space="preserve">  </w:t>
      </w:r>
      <w:r w:rsidR="00CA1666">
        <w:t>σύμφωνα με το χρονοδιάγραμμα του Πίνακα 2 του Παραρτήματος Α.</w:t>
      </w:r>
      <w:r w:rsidRPr="009C4570">
        <w:t xml:space="preserve"> </w:t>
      </w:r>
      <w:r w:rsidR="00DF782E">
        <w:t>Ως προς την Εγγυητική Επιστολή Έντεχνης και Έγκαιρης Εκτέλεσης, ο</w:t>
      </w:r>
      <w:r w:rsidRPr="009C4570">
        <w:t xml:space="preserve"> φορέας έκδοσης αποστέλλει στη Ρ</w:t>
      </w:r>
      <w:r w:rsidR="00DF782E">
        <w:t>.</w:t>
      </w:r>
      <w:r w:rsidRPr="009C4570">
        <w:t>Α</w:t>
      </w:r>
      <w:r w:rsidR="00DF782E">
        <w:t>.</w:t>
      </w:r>
      <w:r w:rsidR="00CA1666">
        <w:t>Α</w:t>
      </w:r>
      <w:r w:rsidR="00DF782E">
        <w:t>.</w:t>
      </w:r>
      <w:r w:rsidRPr="009C4570">
        <w:t>Ε</w:t>
      </w:r>
      <w:r w:rsidR="00DF782E">
        <w:t>.</w:t>
      </w:r>
      <w:r w:rsidR="00CA1666">
        <w:t>Υ</w:t>
      </w:r>
      <w:r w:rsidR="00DF782E">
        <w:t>.</w:t>
      </w:r>
      <w:r w:rsidRPr="009C4570">
        <w:t xml:space="preserve">, επί ποινή </w:t>
      </w:r>
      <w:proofErr w:type="spellStart"/>
      <w:r w:rsidRPr="009C4570">
        <w:t>απένταξης</w:t>
      </w:r>
      <w:proofErr w:type="spellEnd"/>
      <w:r w:rsidRPr="009C4570">
        <w:t xml:space="preserve"> από το καθεστώς </w:t>
      </w:r>
      <w:r>
        <w:t xml:space="preserve">Επενδυτικής και Λειτουργικής </w:t>
      </w:r>
      <w:r w:rsidRPr="009C4570">
        <w:t xml:space="preserve">Ενίσχυσης, αντίγραφο αυτής μέσω ηλεκτρονικού ταχυδρομείου (e – </w:t>
      </w:r>
      <w:proofErr w:type="spellStart"/>
      <w:r w:rsidRPr="009C4570">
        <w:t>mail</w:t>
      </w:r>
      <w:proofErr w:type="spellEnd"/>
      <w:r w:rsidRPr="009C4570">
        <w:t xml:space="preserve">) στην ηλεκτρονική διεύθυνση </w:t>
      </w:r>
      <w:hyperlink r:id="rId19" w:history="1">
        <w:r w:rsidRPr="009C4570">
          <w:rPr>
            <w:rStyle w:val="-"/>
          </w:rPr>
          <w:t>guarantee@rae.gr</w:t>
        </w:r>
      </w:hyperlink>
      <w:r w:rsidRPr="009C4570">
        <w:t xml:space="preserve"> εντός αποκλειστικής </w:t>
      </w:r>
      <w:r w:rsidRPr="004E7B57">
        <w:t xml:space="preserve">προθεσμίας τριών (3) μηνών από την έκδοση του </w:t>
      </w:r>
      <w:r w:rsidR="00CA1666">
        <w:t>Ο</w:t>
      </w:r>
      <w:r w:rsidRPr="004E7B57">
        <w:t xml:space="preserve">ριστικού Καταλόγου Επιλεγέντων, Αποκλεισθέντων και Επιλαχόντων Συμμετεχόντων, σύμφωνα με το </w:t>
      </w:r>
      <w:r w:rsidRPr="00D3106F">
        <w:t>άρθρο 1</w:t>
      </w:r>
      <w:r w:rsidR="00CA1666" w:rsidRPr="00D3106F">
        <w:t>2</w:t>
      </w:r>
      <w:r w:rsidRPr="00D3106F">
        <w:t>.</w:t>
      </w:r>
      <w:r>
        <w:t xml:space="preserve"> </w:t>
      </w:r>
      <w:r w:rsidR="00DF782E">
        <w:t>Ως προς την Εγγυητική Επιστολή Καλής Λειτουργίας, ο</w:t>
      </w:r>
      <w:r w:rsidRPr="009C4570">
        <w:t xml:space="preserve"> φορέας έκδοσης αποστέλλει στη ΡΑΕ, επί ποινή </w:t>
      </w:r>
      <w:proofErr w:type="spellStart"/>
      <w:r w:rsidRPr="009C4570">
        <w:t>απένταξης</w:t>
      </w:r>
      <w:proofErr w:type="spellEnd"/>
      <w:r w:rsidRPr="009C4570">
        <w:t xml:space="preserve"> από το καθεστώς </w:t>
      </w:r>
      <w:r>
        <w:t xml:space="preserve">Επενδυτικής και Λειτουργικής </w:t>
      </w:r>
      <w:r w:rsidRPr="009C4570">
        <w:t xml:space="preserve">Ενίσχυσης, αντίγραφο αυτής μέσω ηλεκτρονικού ταχυδρομείου (e – </w:t>
      </w:r>
      <w:proofErr w:type="spellStart"/>
      <w:r w:rsidRPr="009C4570">
        <w:t>mail</w:t>
      </w:r>
      <w:proofErr w:type="spellEnd"/>
      <w:r w:rsidRPr="009C4570">
        <w:t xml:space="preserve">) στην ηλεκτρονική διεύθυνση </w:t>
      </w:r>
      <w:hyperlink r:id="rId20" w:history="1">
        <w:r w:rsidRPr="009C4570">
          <w:rPr>
            <w:rStyle w:val="-"/>
          </w:rPr>
          <w:t>guarantee@rae.gr</w:t>
        </w:r>
      </w:hyperlink>
      <w:r w:rsidRPr="009C4570">
        <w:t xml:space="preserve"> </w:t>
      </w:r>
      <w:r w:rsidR="00C821DD">
        <w:t>μετά</w:t>
      </w:r>
      <w:r w:rsidRPr="004E7B57">
        <w:t xml:space="preserve"> την επιτυχή ολοκλήρωση της δοκιμαστικής λειτουργίας του Σ.Α.Η.Ε.</w:t>
      </w:r>
    </w:p>
    <w:p w14:paraId="47DD5513" w14:textId="77777777" w:rsidR="00CE7BD2" w:rsidRPr="004E7B57" w:rsidRDefault="00CE7BD2" w:rsidP="00E76414">
      <w:pPr>
        <w:pStyle w:val="4"/>
      </w:pPr>
    </w:p>
    <w:p w14:paraId="1ABF6456" w14:textId="1696DA49" w:rsidR="000546D5" w:rsidRPr="004E7B57" w:rsidRDefault="00856EDC" w:rsidP="002566EC">
      <w:pPr>
        <w:pStyle w:val="20"/>
      </w:pPr>
      <w:r w:rsidRPr="004E7B57">
        <w:t>Άρθρο 1</w:t>
      </w:r>
      <w:r w:rsidR="009A0818" w:rsidRPr="004E7B57">
        <w:t>2</w:t>
      </w:r>
    </w:p>
    <w:p w14:paraId="3B78E6D2" w14:textId="691FECBF" w:rsidR="000546D5" w:rsidRPr="004E7B57" w:rsidRDefault="00856EDC" w:rsidP="003F4AF5">
      <w:pPr>
        <w:pStyle w:val="20"/>
      </w:pPr>
      <w:r w:rsidRPr="004E7B57">
        <w:t xml:space="preserve">Έλεγχος </w:t>
      </w:r>
      <w:r w:rsidR="00FB5CD5">
        <w:t xml:space="preserve">Αιτήσεων &amp; </w:t>
      </w:r>
      <w:r w:rsidR="006A7413">
        <w:t xml:space="preserve">Δικαιολογητικών Συμμετοχής </w:t>
      </w:r>
      <w:r w:rsidR="00FB5CD5">
        <w:t>-</w:t>
      </w:r>
      <w:r w:rsidR="00FB0DBF">
        <w:t xml:space="preserve"> Αποφάσεις Ρ.Α.Α.Ε.Υ.</w:t>
      </w:r>
      <w:r w:rsidR="00FB5CD5">
        <w:t xml:space="preserve"> </w:t>
      </w:r>
    </w:p>
    <w:p w14:paraId="2365271B" w14:textId="77777777" w:rsidR="000422E8" w:rsidRPr="004E7B57" w:rsidRDefault="000422E8" w:rsidP="00E76414"/>
    <w:p w14:paraId="1AFEB025" w14:textId="606953ED" w:rsidR="006A7413" w:rsidRDefault="00CE7BD2" w:rsidP="00E76414">
      <w:r w:rsidRPr="004E7B57">
        <w:rPr>
          <w:b/>
        </w:rPr>
        <w:t>1</w:t>
      </w:r>
      <w:r w:rsidR="00A12A56" w:rsidRPr="004E7B57">
        <w:rPr>
          <w:b/>
        </w:rPr>
        <w:t>2</w:t>
      </w:r>
      <w:r w:rsidRPr="004E7B57">
        <w:rPr>
          <w:b/>
        </w:rPr>
        <w:t>.1</w:t>
      </w:r>
      <w:r w:rsidR="0088015A" w:rsidRPr="004E7B57">
        <w:rPr>
          <w:b/>
        </w:rPr>
        <w:t>.</w:t>
      </w:r>
      <w:r w:rsidRPr="004E7B57">
        <w:rPr>
          <w:b/>
        </w:rPr>
        <w:t xml:space="preserve"> </w:t>
      </w:r>
      <w:r w:rsidR="00856EDC" w:rsidRPr="003F0DAE">
        <w:rPr>
          <w:bCs/>
        </w:rPr>
        <w:t xml:space="preserve">Μετά τη λήξη της προθεσμίας υποβολής των Αιτήσεων Συμμετοχής, </w:t>
      </w:r>
      <w:r w:rsidR="00856EDC" w:rsidRPr="004E7B57">
        <w:t xml:space="preserve">η </w:t>
      </w:r>
      <w:r w:rsidR="00CF21E9" w:rsidRPr="004E7B57">
        <w:t>Ρ.Α.Α.Ε.Υ.</w:t>
      </w:r>
      <w:r w:rsidR="00856EDC" w:rsidRPr="004E7B57">
        <w:t xml:space="preserve">, </w:t>
      </w:r>
      <w:r w:rsidR="006A7413">
        <w:t xml:space="preserve">ελέγχει την πληρότητα και το περιεχόμενο των υποβληθέντων </w:t>
      </w:r>
      <w:r w:rsidR="00630815" w:rsidRPr="00147954">
        <w:rPr>
          <w:rFonts w:eastAsia="Calibri"/>
          <w:color w:val="000000"/>
          <w:szCs w:val="24"/>
          <w:lang w:eastAsia="el-GR"/>
        </w:rPr>
        <w:t xml:space="preserve">Αιτήσεων Συμμετοχής </w:t>
      </w:r>
      <w:r w:rsidR="00630815">
        <w:rPr>
          <w:rFonts w:eastAsia="Calibri"/>
          <w:color w:val="000000"/>
          <w:szCs w:val="24"/>
          <w:lang w:eastAsia="el-GR"/>
        </w:rPr>
        <w:t xml:space="preserve">και </w:t>
      </w:r>
      <w:r w:rsidR="006A7413">
        <w:t xml:space="preserve">Δικαιολογητικών </w:t>
      </w:r>
      <w:r w:rsidR="00630815">
        <w:t xml:space="preserve">Συμμετοχής, </w:t>
      </w:r>
      <w:r w:rsidR="00630815" w:rsidRPr="00630815">
        <w:t>πλην της Οικονομικής Προσφοράς και διαπιστώνει την πληρότητα και εγκυρότητα των συμμετοχών</w:t>
      </w:r>
      <w:r w:rsidR="00630815">
        <w:t xml:space="preserve">, </w:t>
      </w:r>
      <w:r w:rsidR="006A7413">
        <w:t>σύμφωνα με τους όρους της παρούσας Προκήρυξης.</w:t>
      </w:r>
    </w:p>
    <w:p w14:paraId="6A3A8E49" w14:textId="2B4956C4" w:rsidR="00BA48F5" w:rsidRPr="004E7B57" w:rsidRDefault="00BA48F5" w:rsidP="006A7413"/>
    <w:p w14:paraId="43071DDF" w14:textId="38656CA1" w:rsidR="00630815" w:rsidRPr="00147954" w:rsidRDefault="00BA48F5" w:rsidP="003F0DAE">
      <w:pPr>
        <w:spacing w:before="240"/>
        <w:contextualSpacing/>
        <w:rPr>
          <w:rFonts w:eastAsia="Calibri"/>
          <w:color w:val="000000"/>
          <w:lang w:eastAsia="el-GR"/>
        </w:rPr>
      </w:pPr>
      <w:r w:rsidRPr="004E7B57">
        <w:rPr>
          <w:b/>
          <w:bCs/>
        </w:rPr>
        <w:t>1</w:t>
      </w:r>
      <w:r w:rsidR="00A12A56" w:rsidRPr="004E7B57">
        <w:rPr>
          <w:b/>
          <w:bCs/>
        </w:rPr>
        <w:t>2</w:t>
      </w:r>
      <w:r w:rsidRPr="004E7B57">
        <w:rPr>
          <w:b/>
          <w:bCs/>
        </w:rPr>
        <w:t>.2.</w:t>
      </w:r>
      <w:r w:rsidRPr="004E7B57">
        <w:t xml:space="preserve"> </w:t>
      </w:r>
      <w:r w:rsidR="00630815" w:rsidRPr="00147954">
        <w:rPr>
          <w:rFonts w:eastAsia="Calibri"/>
          <w:color w:val="000000"/>
          <w:lang w:eastAsia="el-GR"/>
        </w:rPr>
        <w:t>Στη συνέχεια, προκειμένου για τη διασφάλιση συνθηκών υγιούς ανταγωνισμού μεταξύ των Συμμετεχόντων και την αποθάρρυνση αθέμιτων συμπράξεων, η Ρ</w:t>
      </w:r>
      <w:r w:rsidR="00410132">
        <w:rPr>
          <w:rFonts w:eastAsia="Calibri"/>
          <w:color w:val="000000"/>
          <w:lang w:eastAsia="el-GR"/>
        </w:rPr>
        <w:t>.</w:t>
      </w:r>
      <w:r w:rsidR="00630815" w:rsidRPr="00147954">
        <w:rPr>
          <w:rFonts w:eastAsia="Calibri"/>
          <w:color w:val="000000"/>
          <w:lang w:eastAsia="el-GR"/>
        </w:rPr>
        <w:t>Α</w:t>
      </w:r>
      <w:r w:rsidR="00410132">
        <w:rPr>
          <w:rFonts w:eastAsia="Calibri"/>
          <w:color w:val="000000"/>
          <w:lang w:eastAsia="el-GR"/>
        </w:rPr>
        <w:t>.Α.</w:t>
      </w:r>
      <w:r w:rsidR="00630815" w:rsidRPr="00147954">
        <w:rPr>
          <w:rFonts w:eastAsia="Calibri"/>
          <w:color w:val="000000"/>
          <w:lang w:eastAsia="el-GR"/>
        </w:rPr>
        <w:t>Ε</w:t>
      </w:r>
      <w:r w:rsidR="00410132">
        <w:rPr>
          <w:rFonts w:eastAsia="Calibri"/>
          <w:color w:val="000000"/>
          <w:lang w:eastAsia="el-GR"/>
        </w:rPr>
        <w:t>.Υ.</w:t>
      </w:r>
      <w:r w:rsidR="00630815" w:rsidRPr="00147954">
        <w:rPr>
          <w:rFonts w:eastAsia="Calibri"/>
          <w:color w:val="000000"/>
          <w:lang w:eastAsia="el-GR"/>
        </w:rPr>
        <w:t xml:space="preserve"> εξετάζει </w:t>
      </w:r>
      <w:r w:rsidR="00630815">
        <w:rPr>
          <w:rFonts w:eastAsia="Calibri"/>
          <w:color w:val="000000"/>
          <w:lang w:eastAsia="el-GR"/>
        </w:rPr>
        <w:t xml:space="preserve">τη συμμόρφωση </w:t>
      </w:r>
      <w:r w:rsidR="00CC4AC5">
        <w:rPr>
          <w:rFonts w:eastAsia="Calibri"/>
          <w:color w:val="000000"/>
          <w:lang w:eastAsia="el-GR"/>
        </w:rPr>
        <w:t xml:space="preserve">των Συμμετεχόντων </w:t>
      </w:r>
      <w:r w:rsidR="00630815">
        <w:rPr>
          <w:rFonts w:eastAsia="Calibri"/>
          <w:color w:val="000000"/>
          <w:lang w:eastAsia="el-GR"/>
        </w:rPr>
        <w:t>με τους ακόλουθους</w:t>
      </w:r>
      <w:r w:rsidR="00630815" w:rsidRPr="00147954">
        <w:rPr>
          <w:rFonts w:eastAsia="Calibri"/>
          <w:color w:val="000000"/>
          <w:lang w:eastAsia="el-GR"/>
        </w:rPr>
        <w:t xml:space="preserve"> κανόνες που διέπουν την Ανταγωνιστική Διαδικασία: </w:t>
      </w:r>
    </w:p>
    <w:p w14:paraId="0311CCF5" w14:textId="77777777" w:rsidR="00630815" w:rsidRPr="00630815" w:rsidRDefault="00630815" w:rsidP="003F0DAE">
      <w:pPr>
        <w:widowControl/>
        <w:tabs>
          <w:tab w:val="clear" w:pos="1189"/>
        </w:tabs>
        <w:autoSpaceDE/>
        <w:autoSpaceDN/>
        <w:spacing w:before="240" w:after="160" w:line="259" w:lineRule="auto"/>
        <w:ind w:right="0"/>
        <w:contextualSpacing/>
        <w:rPr>
          <w:rFonts w:eastAsia="Calibri"/>
          <w:color w:val="000000"/>
          <w:lang w:eastAsia="el-GR"/>
        </w:rPr>
      </w:pPr>
    </w:p>
    <w:p w14:paraId="5CF0776B" w14:textId="77777777" w:rsidR="00630815" w:rsidRPr="00630815" w:rsidRDefault="00630815" w:rsidP="00E67595">
      <w:pPr>
        <w:widowControl/>
        <w:numPr>
          <w:ilvl w:val="0"/>
          <w:numId w:val="5"/>
        </w:numPr>
        <w:tabs>
          <w:tab w:val="clear" w:pos="1189"/>
        </w:tabs>
        <w:autoSpaceDE/>
        <w:autoSpaceDN/>
        <w:spacing w:after="160" w:line="259" w:lineRule="auto"/>
        <w:ind w:left="426" w:right="0"/>
      </w:pPr>
      <w:r w:rsidRPr="00630815">
        <w:rPr>
          <w:b/>
          <w:bCs/>
          <w:u w:val="single"/>
        </w:rPr>
        <w:t>Κανόνας ελάχιστου αριθμού σταθμών που δεν ανήκουν στον ίδιο Συμμετέχοντα:</w:t>
      </w:r>
      <w:r w:rsidRPr="00630815">
        <w:rPr>
          <w:b/>
          <w:bCs/>
        </w:rPr>
        <w:t xml:space="preserve"> </w:t>
      </w:r>
      <w:r w:rsidRPr="00630815">
        <w:t xml:space="preserve">Εφαρμόζεται όριο ελάχιστου αριθμού τεσσάρων (4) Συμμετεχόντων, οι οποίοι δεν αποτελούν Συνδεδεμένα ή Συνεργαζόμενα μεταξύ τους Πρόσωπα. Σε περίπτωση μη τήρησης της απαίτησης </w:t>
      </w:r>
      <w:r w:rsidRPr="00630815">
        <w:lastRenderedPageBreak/>
        <w:t>αυτής, η Ανταγωνιστική Διαδικασία αναβάλλεται για νέα ημερομηνία, άλλως ματαιώνεται και η προς δημοπράτηση ισχύς προστίθεται στην προς δημοπράτηση ισχύ της Δεύτερης (Β’) Ανταγωνιστικής Διαδικασίας.</w:t>
      </w:r>
    </w:p>
    <w:p w14:paraId="1022285B" w14:textId="13626A01" w:rsidR="00630815" w:rsidRPr="00630815" w:rsidRDefault="00630815" w:rsidP="00E67595">
      <w:pPr>
        <w:widowControl/>
        <w:numPr>
          <w:ilvl w:val="0"/>
          <w:numId w:val="5"/>
        </w:numPr>
        <w:tabs>
          <w:tab w:val="clear" w:pos="1189"/>
        </w:tabs>
        <w:autoSpaceDE/>
        <w:autoSpaceDN/>
        <w:spacing w:after="160" w:line="259" w:lineRule="auto"/>
        <w:ind w:left="426" w:right="0"/>
      </w:pPr>
      <w:r w:rsidRPr="00630815">
        <w:rPr>
          <w:b/>
          <w:bCs/>
          <w:u w:val="single"/>
        </w:rPr>
        <w:t>Κανόνας μέγιστου ορίου Ισχύος Συμμετοχής ανά Σ</w:t>
      </w:r>
      <w:r w:rsidR="00E167F1">
        <w:rPr>
          <w:b/>
          <w:bCs/>
          <w:u w:val="single"/>
        </w:rPr>
        <w:t>.</w:t>
      </w:r>
      <w:r w:rsidRPr="00630815">
        <w:rPr>
          <w:b/>
          <w:bCs/>
          <w:u w:val="single"/>
        </w:rPr>
        <w:t>Α</w:t>
      </w:r>
      <w:r w:rsidR="00E167F1">
        <w:rPr>
          <w:b/>
          <w:bCs/>
          <w:u w:val="single"/>
        </w:rPr>
        <w:t>.</w:t>
      </w:r>
      <w:r w:rsidRPr="00630815">
        <w:rPr>
          <w:b/>
          <w:bCs/>
          <w:u w:val="single"/>
        </w:rPr>
        <w:t>Η</w:t>
      </w:r>
      <w:r w:rsidR="00E167F1">
        <w:rPr>
          <w:b/>
          <w:bCs/>
          <w:u w:val="single"/>
        </w:rPr>
        <w:t>.</w:t>
      </w:r>
      <w:r w:rsidRPr="00630815">
        <w:rPr>
          <w:b/>
          <w:bCs/>
          <w:u w:val="single"/>
        </w:rPr>
        <w:t>Ε</w:t>
      </w:r>
      <w:r w:rsidR="00E167F1">
        <w:rPr>
          <w:b/>
          <w:bCs/>
          <w:u w:val="single"/>
        </w:rPr>
        <w:t>.</w:t>
      </w:r>
      <w:r w:rsidRPr="00630815">
        <w:rPr>
          <w:b/>
          <w:bCs/>
          <w:u w:val="single"/>
        </w:rPr>
        <w:t>:</w:t>
      </w:r>
      <w:r w:rsidRPr="00630815">
        <w:rPr>
          <w:b/>
          <w:bCs/>
        </w:rPr>
        <w:t xml:space="preserve"> </w:t>
      </w:r>
      <w:r w:rsidRPr="00630815">
        <w:t>Τίθεται ανώτατο όριο 100 MW στην Ισχύ Συμμετοχής εκάστου Σ.Α.Η.Ε. προκειμένου να επιτραπεί η συμμετοχή του στην Ανταγωνιστική Διαδικασία.</w:t>
      </w:r>
    </w:p>
    <w:p w14:paraId="0972E56E" w14:textId="77777777" w:rsidR="00147954" w:rsidRPr="00630815" w:rsidRDefault="00630815" w:rsidP="00E67595">
      <w:pPr>
        <w:widowControl/>
        <w:numPr>
          <w:ilvl w:val="0"/>
          <w:numId w:val="5"/>
        </w:numPr>
        <w:tabs>
          <w:tab w:val="clear" w:pos="1189"/>
        </w:tabs>
        <w:autoSpaceDE/>
        <w:autoSpaceDN/>
        <w:spacing w:after="160" w:line="259" w:lineRule="auto"/>
        <w:ind w:left="426" w:right="0"/>
      </w:pPr>
      <w:r w:rsidRPr="00630815">
        <w:rPr>
          <w:b/>
          <w:bCs/>
          <w:u w:val="single"/>
        </w:rPr>
        <w:t>Κανόνας μέγιστου ορίου Ισχύος Συμμετοχής ανά Συμμετέχοντα</w:t>
      </w:r>
      <w:r w:rsidRPr="00630815">
        <w:t xml:space="preserve">: Τίθεται μέγιστο όριο Ισχύος Συμμετοχής ανά Συμμετέχοντα, το οποίο ορίζεται στο είκοσι πέντε τοις εκατό (25%) της </w:t>
      </w:r>
      <w:proofErr w:type="spellStart"/>
      <w:r w:rsidRPr="00630815">
        <w:t>προκηρυσσόμενης</w:t>
      </w:r>
      <w:proofErr w:type="spellEnd"/>
      <w:r w:rsidRPr="00630815">
        <w:t xml:space="preserve"> ισχύος της Ανταγωνιστικής Διαδικασίας.</w:t>
      </w:r>
    </w:p>
    <w:p w14:paraId="17D8738C" w14:textId="77777777" w:rsidR="00630815" w:rsidRPr="00630815" w:rsidRDefault="004942B7" w:rsidP="00630815">
      <w:r w:rsidRPr="00630815">
        <w:t>Κατά τον έλεγχο των ορίων ισχύος συμμετοχής ανά Συμμετέχοντα και ελάχιστου αριθμού συμμετεχόντων, λαμβάνονται υπόψη οι συνδεδεμένες και οι συνεργαζόμενες με τον Συμμετέχοντα επιχειρήσεις κατά την έννοια της σύστασης 2003/361/ΕΚ της Επιτροπής (ΕΕL 124 της 20ής Μαΐου 2003, σ. 36).</w:t>
      </w:r>
    </w:p>
    <w:p w14:paraId="0B0F846C" w14:textId="75430A54" w:rsidR="00BA48F5" w:rsidRDefault="00BA48F5" w:rsidP="00E76414"/>
    <w:p w14:paraId="709CF3D7" w14:textId="1F6661FD" w:rsidR="00CC4AC5" w:rsidRDefault="0014236A" w:rsidP="00CC4AC5">
      <w:r w:rsidRPr="00410132">
        <w:rPr>
          <w:b/>
          <w:bCs/>
        </w:rPr>
        <w:t>12.3</w:t>
      </w:r>
      <w:r w:rsidR="00410132" w:rsidRPr="00410132">
        <w:rPr>
          <w:b/>
          <w:bCs/>
        </w:rPr>
        <w:t>.</w:t>
      </w:r>
      <w:r>
        <w:t xml:space="preserve"> </w:t>
      </w:r>
      <w:r w:rsidR="00CC4AC5" w:rsidRPr="00E15852">
        <w:t>Η Ρ</w:t>
      </w:r>
      <w:r w:rsidR="00884CA5">
        <w:t>.</w:t>
      </w:r>
      <w:r w:rsidR="00CC4AC5" w:rsidRPr="00E15852">
        <w:t>Α</w:t>
      </w:r>
      <w:r w:rsidR="00884CA5">
        <w:t>.</w:t>
      </w:r>
      <w:r w:rsidR="00CC4AC5">
        <w:t>Α</w:t>
      </w:r>
      <w:r w:rsidR="00884CA5">
        <w:t>.</w:t>
      </w:r>
      <w:r w:rsidR="00CC4AC5">
        <w:t>Ε</w:t>
      </w:r>
      <w:r w:rsidR="00884CA5">
        <w:t>.</w:t>
      </w:r>
      <w:r w:rsidR="00CC4AC5">
        <w:t>Υ</w:t>
      </w:r>
      <w:r w:rsidR="00884CA5">
        <w:t>.</w:t>
      </w:r>
      <w:r w:rsidR="00CC4AC5" w:rsidRPr="00E15852">
        <w:t xml:space="preserve">, κατόπιν της </w:t>
      </w:r>
      <w:r w:rsidR="00884CA5">
        <w:t xml:space="preserve">τυπικής και ουσιαστικής αξιολόγησης των υποβληθεισών και παραδεκτών αιτήσεων συμμετοχής, </w:t>
      </w:r>
      <w:r w:rsidR="00CC4AC5" w:rsidRPr="00E15852">
        <w:t>με Απόφασή της, καταρτί</w:t>
      </w:r>
      <w:r w:rsidR="00884CA5">
        <w:t>ζ</w:t>
      </w:r>
      <w:r w:rsidR="00CC4AC5" w:rsidRPr="00E15852">
        <w:t xml:space="preserve">ει Προσωρινό Κατάλογο </w:t>
      </w:r>
      <w:r w:rsidR="00884CA5">
        <w:t>Επιλεγέντων</w:t>
      </w:r>
      <w:r w:rsidR="00C104AC">
        <w:t xml:space="preserve"> και</w:t>
      </w:r>
      <w:r w:rsidR="00884CA5">
        <w:t xml:space="preserve"> Αποκλεισθέντων Συμμετεχόντων</w:t>
      </w:r>
      <w:r w:rsidR="00CC4AC5" w:rsidRPr="00E15852">
        <w:t xml:space="preserve">, </w:t>
      </w:r>
      <w:r w:rsidR="00C104AC">
        <w:t>με</w:t>
      </w:r>
      <w:r w:rsidR="00CC4AC5" w:rsidRPr="00E15852">
        <w:t xml:space="preserve"> όσους </w:t>
      </w:r>
      <w:r w:rsidR="00884CA5">
        <w:t xml:space="preserve">πληρούν τα σχετικά κριτήρια και </w:t>
      </w:r>
      <w:r w:rsidR="00C104AC">
        <w:t>προϋποθέσεις</w:t>
      </w:r>
      <w:r w:rsidR="00884CA5">
        <w:t xml:space="preserve"> και </w:t>
      </w:r>
      <w:r w:rsidR="00CC4AC5" w:rsidRPr="00E15852">
        <w:t xml:space="preserve">προκρίνονται να συμμετέχουν στη δεύτερη φάση </w:t>
      </w:r>
      <w:r w:rsidR="00C104AC">
        <w:t>αξιολόγησης των οικονομικών Προσφορών και</w:t>
      </w:r>
      <w:r w:rsidR="00CC4AC5" w:rsidRPr="00E15852">
        <w:t xml:space="preserve"> όσους αποκλείονται από τη δεύτερη φάση της Ανταγωνιστικής Διαδικασίας. Η εν λόγω Απόφαση </w:t>
      </w:r>
      <w:r w:rsidR="00C104AC">
        <w:t>αναρτάται</w:t>
      </w:r>
      <w:r w:rsidR="00CC4AC5" w:rsidRPr="00E15852">
        <w:t xml:space="preserve"> στην ιστοσελίδα της Ρ</w:t>
      </w:r>
      <w:r w:rsidR="00C104AC">
        <w:t>.</w:t>
      </w:r>
      <w:r w:rsidR="00CC4AC5" w:rsidRPr="00E15852">
        <w:t>Α</w:t>
      </w:r>
      <w:r w:rsidR="00C104AC">
        <w:t>.</w:t>
      </w:r>
      <w:r w:rsidR="00CC4AC5">
        <w:t>Α</w:t>
      </w:r>
      <w:r w:rsidR="00C104AC">
        <w:t>.</w:t>
      </w:r>
      <w:r w:rsidR="00CC4AC5">
        <w:t>Ε</w:t>
      </w:r>
      <w:r w:rsidR="00C104AC">
        <w:t>.</w:t>
      </w:r>
      <w:r w:rsidR="00CC4AC5">
        <w:t>Υ</w:t>
      </w:r>
      <w:r w:rsidR="00C104AC">
        <w:t>.</w:t>
      </w:r>
      <w:r w:rsidR="00CC4AC5" w:rsidRPr="00317895">
        <w:t xml:space="preserve"> </w:t>
      </w:r>
      <w:r w:rsidR="00CC4AC5" w:rsidRPr="00E15852">
        <w:t>και η Ρ</w:t>
      </w:r>
      <w:r w:rsidR="00C104AC">
        <w:t>.</w:t>
      </w:r>
      <w:r w:rsidR="00CC4AC5" w:rsidRPr="00E15852">
        <w:t>Α</w:t>
      </w:r>
      <w:r w:rsidR="00C104AC">
        <w:t>.</w:t>
      </w:r>
      <w:r w:rsidR="00CC4AC5">
        <w:t>Α</w:t>
      </w:r>
      <w:r w:rsidR="00C104AC">
        <w:t>.</w:t>
      </w:r>
      <w:r w:rsidR="00CC4AC5">
        <w:t>Ε</w:t>
      </w:r>
      <w:r w:rsidR="00C104AC">
        <w:t>.</w:t>
      </w:r>
      <w:r w:rsidR="00CC4AC5">
        <w:t>Υ</w:t>
      </w:r>
      <w:r w:rsidR="00C104AC">
        <w:t>.</w:t>
      </w:r>
      <w:r w:rsidR="00CC4AC5" w:rsidRPr="00317895">
        <w:t xml:space="preserve"> </w:t>
      </w:r>
      <w:r w:rsidR="00CC4AC5" w:rsidRPr="00E15852">
        <w:t xml:space="preserve">ενημερώνει τους </w:t>
      </w:r>
      <w:r w:rsidR="00A8058E">
        <w:t xml:space="preserve">Επιλεγέντες και Αποκλεισθέντες </w:t>
      </w:r>
      <w:r w:rsidR="00CC4AC5" w:rsidRPr="00E15852">
        <w:t>Συμμετέχοντες, στη διεύθυνση ηλεκτρονικού ταχυδρομείου (e-</w:t>
      </w:r>
      <w:proofErr w:type="spellStart"/>
      <w:r w:rsidR="00CC4AC5" w:rsidRPr="00E15852">
        <w:t>mail</w:t>
      </w:r>
      <w:proofErr w:type="spellEnd"/>
      <w:r w:rsidR="00CC4AC5" w:rsidRPr="00E15852">
        <w:t>), που έχουν δηλώσει στην Αίτηση Συμμετοχής.</w:t>
      </w:r>
    </w:p>
    <w:p w14:paraId="788F4CDD" w14:textId="77777777" w:rsidR="00403B0E" w:rsidRPr="00E15852" w:rsidRDefault="00403B0E" w:rsidP="00CC4AC5"/>
    <w:p w14:paraId="46A90058" w14:textId="55491F7C" w:rsidR="00CC4AC5" w:rsidRDefault="00A8058E" w:rsidP="00CC4AC5">
      <w:r w:rsidRPr="00410132">
        <w:rPr>
          <w:b/>
          <w:bCs/>
        </w:rPr>
        <w:t>12.4.</w:t>
      </w:r>
      <w:r>
        <w:t xml:space="preserve"> </w:t>
      </w:r>
      <w:r w:rsidR="00CC4AC5" w:rsidRPr="00E15852">
        <w:t>Οι έχοντες έννομο συμφέρον δύναται να υποβάλλουν ενστάσεις ενώπιον της Ρ</w:t>
      </w:r>
      <w:r>
        <w:t>.</w:t>
      </w:r>
      <w:r w:rsidR="00CC4AC5" w:rsidRPr="00E15852">
        <w:t>Α</w:t>
      </w:r>
      <w:r>
        <w:t>.</w:t>
      </w:r>
      <w:r w:rsidR="00CC4AC5">
        <w:t>Α</w:t>
      </w:r>
      <w:r>
        <w:t>.</w:t>
      </w:r>
      <w:r w:rsidR="00CC4AC5">
        <w:t>Ε</w:t>
      </w:r>
      <w:r>
        <w:t>.</w:t>
      </w:r>
      <w:r w:rsidR="00CC4AC5">
        <w:t>Υ</w:t>
      </w:r>
      <w:r>
        <w:t>.</w:t>
      </w:r>
      <w:r w:rsidR="00CC4AC5" w:rsidRPr="00C3654A">
        <w:t xml:space="preserve"> </w:t>
      </w:r>
      <w:r w:rsidR="00CC4AC5" w:rsidRPr="00E15852">
        <w:t>εντός της αποκλειστικής προθεσμίας που ορίζεται στο χρονοδιάγραμμα της Προκήρυξης (Πίνακας 2</w:t>
      </w:r>
      <w:r>
        <w:t>, Παράρτημα Α</w:t>
      </w:r>
      <w:r w:rsidR="00CC4AC5" w:rsidRPr="00E15852">
        <w:t xml:space="preserve">). </w:t>
      </w:r>
    </w:p>
    <w:p w14:paraId="06A90CCC" w14:textId="77777777" w:rsidR="00D3106F" w:rsidRDefault="00D3106F" w:rsidP="00CC4AC5"/>
    <w:p w14:paraId="0E9FD348" w14:textId="22248E9E" w:rsidR="00CC4AC5" w:rsidRDefault="00A8058E" w:rsidP="00CC4AC5">
      <w:r w:rsidRPr="00410132">
        <w:rPr>
          <w:b/>
          <w:bCs/>
        </w:rPr>
        <w:t>12.5.</w:t>
      </w:r>
      <w:r>
        <w:t xml:space="preserve"> </w:t>
      </w:r>
      <w:r w:rsidR="00CC4AC5" w:rsidRPr="00E15852">
        <w:t>Η Ρ</w:t>
      </w:r>
      <w:r w:rsidR="00FB0DBF">
        <w:t>.</w:t>
      </w:r>
      <w:r w:rsidR="00CC4AC5" w:rsidRPr="00E15852">
        <w:t>Α</w:t>
      </w:r>
      <w:r w:rsidR="00FB0DBF">
        <w:t>.</w:t>
      </w:r>
      <w:r w:rsidR="00CC4AC5">
        <w:t>Α</w:t>
      </w:r>
      <w:r w:rsidR="00FB0DBF">
        <w:t>.</w:t>
      </w:r>
      <w:r w:rsidR="00CC4AC5">
        <w:t>Ε</w:t>
      </w:r>
      <w:r w:rsidR="00FB0DBF">
        <w:t>.</w:t>
      </w:r>
      <w:r w:rsidR="00CC4AC5">
        <w:t>Υ</w:t>
      </w:r>
      <w:r w:rsidR="00FB0DBF">
        <w:t>.</w:t>
      </w:r>
      <w:r w:rsidR="00CC4AC5" w:rsidRPr="00E15852">
        <w:t>, αφού εξετάσει τις τυχόν υποβληθείσες ενστάσεις</w:t>
      </w:r>
      <w:r w:rsidR="00CC4AC5" w:rsidRPr="00C3654A">
        <w:t xml:space="preserve"> </w:t>
      </w:r>
      <w:r w:rsidR="00CC4AC5" w:rsidRPr="00ED1C66">
        <w:t>σύμφωνα με το χρονοδιάγραμμα της παρούσας Προκήρυξης (Πίνακας 2</w:t>
      </w:r>
      <w:r>
        <w:t>, Παράρτημα Α</w:t>
      </w:r>
      <w:r w:rsidR="00CC4AC5" w:rsidRPr="00ED1C66">
        <w:t>)</w:t>
      </w:r>
      <w:r w:rsidR="00CC4AC5" w:rsidRPr="00E15852">
        <w:t xml:space="preserve">, </w:t>
      </w:r>
      <w:r w:rsidR="00CC4AC5">
        <w:t xml:space="preserve">εφαρμόζει στο σύνολο των </w:t>
      </w:r>
      <w:r>
        <w:t>Επιλεγέντων Συμμετεχόντων</w:t>
      </w:r>
      <w:r w:rsidR="00CC4AC5">
        <w:t xml:space="preserve"> τον </w:t>
      </w:r>
      <w:r w:rsidR="00CC4AC5" w:rsidRPr="002209C7">
        <w:t xml:space="preserve">ακόλουθο </w:t>
      </w:r>
      <w:r w:rsidR="00CC4AC5" w:rsidRPr="00E15852">
        <w:rPr>
          <w:b/>
          <w:bCs/>
        </w:rPr>
        <w:t>κανόνα ελάχιστου ποσοστού ανταγωνισμού</w:t>
      </w:r>
      <w:r w:rsidR="00CC4AC5" w:rsidRPr="002209C7">
        <w:t xml:space="preserve">: Το ελάχιστο ποσοστό ανταγωνισμού αναφέρεται στον υπολογισμό της </w:t>
      </w:r>
      <w:r>
        <w:t>α</w:t>
      </w:r>
      <w:r w:rsidR="00CC4AC5" w:rsidRPr="002209C7">
        <w:t xml:space="preserve">κριβούς δημοπρατούμενης ισχύος λαμβάνοντας υπόψη τη συνολική ισχύ των </w:t>
      </w:r>
      <w:r>
        <w:t xml:space="preserve">Επιλεγέντων </w:t>
      </w:r>
      <w:r w:rsidR="00CC4AC5" w:rsidRPr="002209C7">
        <w:t xml:space="preserve">Συμμετεχόντων. Σε περίπτωση που η συνολική ισχύς των </w:t>
      </w:r>
      <w:r>
        <w:t>Σ.Α.Η.Ε. των Επιλεγέντων Συμμετεχόντων</w:t>
      </w:r>
      <w:r w:rsidR="00CC4AC5" w:rsidRPr="002209C7">
        <w:t xml:space="preserve"> δεν υπερβαίνει το ελάχιστο ποσοστό ανταγωνισμού, τότε η </w:t>
      </w:r>
      <w:r>
        <w:t>α</w:t>
      </w:r>
      <w:r w:rsidR="00CC4AC5" w:rsidRPr="002209C7">
        <w:t>κριβής δημοπρατούμενη ισχύς, μειώνεται ώστε να ικανοποιείται το ελάχιστο ποσοστό ανταγωνισμού.</w:t>
      </w:r>
      <w:r w:rsidR="00CC4AC5">
        <w:t xml:space="preserve"> </w:t>
      </w:r>
      <w:r w:rsidR="00CC4AC5" w:rsidRPr="005F372F">
        <w:t xml:space="preserve">Το Ελάχιστο Ποσοστό Ανταγωνισμού της Ανταγωνιστικής Διαδικασίας καθορίζεται σε εκατό τοις εκατό (100%). </w:t>
      </w:r>
    </w:p>
    <w:p w14:paraId="60E3DDDB" w14:textId="77777777" w:rsidR="00D3106F" w:rsidRDefault="00D3106F" w:rsidP="00CC4AC5"/>
    <w:p w14:paraId="24793531" w14:textId="0377F8C6" w:rsidR="00CC4AC5" w:rsidRDefault="00C43952" w:rsidP="0014236A">
      <w:r w:rsidRPr="00410132">
        <w:rPr>
          <w:b/>
          <w:bCs/>
        </w:rPr>
        <w:t>12.6.</w:t>
      </w:r>
      <w:r>
        <w:t xml:space="preserve"> </w:t>
      </w:r>
      <w:r w:rsidR="00CC4AC5">
        <w:t xml:space="preserve">Ακολούθως, η </w:t>
      </w:r>
      <w:r w:rsidR="00E3119B">
        <w:t>Ρ.Α.Α.Ε.Υ.</w:t>
      </w:r>
      <w:r w:rsidR="0014236A" w:rsidRPr="0014236A">
        <w:t xml:space="preserve"> ελέγχει την πληρότητα, εγκυρότητα και το περιεχόμενο</w:t>
      </w:r>
      <w:r w:rsidR="0014236A">
        <w:t xml:space="preserve"> της οικονομικής Προσφοράς</w:t>
      </w:r>
      <w:r w:rsidR="00CC4AC5">
        <w:t xml:space="preserve"> </w:t>
      </w:r>
      <w:r>
        <w:t>εφαρμόζοντας</w:t>
      </w:r>
      <w:r w:rsidR="00CC4AC5">
        <w:t xml:space="preserve"> τα ακόλουθα:</w:t>
      </w:r>
    </w:p>
    <w:p w14:paraId="7610C830" w14:textId="48B8491B" w:rsidR="0014236A" w:rsidRDefault="0014236A" w:rsidP="00E67595">
      <w:pPr>
        <w:pStyle w:val="a4"/>
        <w:numPr>
          <w:ilvl w:val="0"/>
          <w:numId w:val="6"/>
        </w:numPr>
        <w:ind w:left="426"/>
      </w:pPr>
      <w:r w:rsidRPr="0014236A">
        <w:t xml:space="preserve">Η </w:t>
      </w:r>
      <w:r w:rsidR="00C43952">
        <w:t>κατάταξη</w:t>
      </w:r>
      <w:r w:rsidRPr="0014236A">
        <w:t xml:space="preserve"> των Επιλεγέντων Συμμετεχόντων γίνεται με κριτήριο </w:t>
      </w:r>
      <w:r>
        <w:t>τη χαμηλότερη οικονομική Προσφορά</w:t>
      </w:r>
      <w:r w:rsidRPr="0014236A">
        <w:t xml:space="preserve">, </w:t>
      </w:r>
      <w:r w:rsidR="00C43952">
        <w:t>η οποία</w:t>
      </w:r>
      <w:r w:rsidRPr="0014236A">
        <w:t xml:space="preserve"> αποτυπώνεται σε ευρώ ανά μεγαβάτ ανά έτος (€/MW/έτος), και με αύξουσα σειρά κόστους προσφορών, έως ότου εξαντληθεί η </w:t>
      </w:r>
      <w:r w:rsidR="00C43952">
        <w:t xml:space="preserve">ακριβής </w:t>
      </w:r>
      <w:r w:rsidRPr="0014236A">
        <w:t>δημοπρατούμενη ισχύς</w:t>
      </w:r>
      <w:r>
        <w:t>.</w:t>
      </w:r>
    </w:p>
    <w:p w14:paraId="5390BF93" w14:textId="2CD99784" w:rsidR="00CC4AC5" w:rsidRPr="002C36D3" w:rsidRDefault="00CC4AC5" w:rsidP="00E67595">
      <w:pPr>
        <w:pStyle w:val="a4"/>
        <w:numPr>
          <w:ilvl w:val="0"/>
          <w:numId w:val="6"/>
        </w:numPr>
        <w:ind w:left="426"/>
      </w:pPr>
      <w:r w:rsidRPr="002C36D3">
        <w:t xml:space="preserve">Αν δύο </w:t>
      </w:r>
      <w:r w:rsidR="0014236A">
        <w:t xml:space="preserve">οικονομικές </w:t>
      </w:r>
      <w:r w:rsidRPr="002C36D3">
        <w:t xml:space="preserve">Προσφορές έχουν ίδια παράμετρο τιμής, τότε </w:t>
      </w:r>
      <w:r w:rsidR="0014236A">
        <w:t xml:space="preserve">προκρίνεται </w:t>
      </w:r>
      <w:r w:rsidRPr="002C36D3">
        <w:t xml:space="preserve">αυτή, της οποίας ο </w:t>
      </w:r>
      <w:r w:rsidR="00CA7A8B">
        <w:t>Σ.Α.Η.Ε.</w:t>
      </w:r>
      <w:r w:rsidRPr="002C36D3">
        <w:t xml:space="preserve"> έχει την μικρότερη </w:t>
      </w:r>
      <w:r w:rsidR="00CA7A8B">
        <w:t>Μ</w:t>
      </w:r>
      <w:r w:rsidRPr="002C36D3">
        <w:t xml:space="preserve">έγιστη </w:t>
      </w:r>
      <w:r w:rsidR="00CA7A8B">
        <w:t>Ι</w:t>
      </w:r>
      <w:r w:rsidRPr="002C36D3">
        <w:t>σχύ</w:t>
      </w:r>
      <w:r w:rsidR="0014236A">
        <w:t xml:space="preserve"> </w:t>
      </w:r>
      <w:r w:rsidR="00CA7A8B">
        <w:t>Έ</w:t>
      </w:r>
      <w:r w:rsidR="0014236A">
        <w:t>γχυσης.</w:t>
      </w:r>
    </w:p>
    <w:p w14:paraId="51D11B87" w14:textId="50670A92" w:rsidR="0014236A" w:rsidRDefault="00CC4AC5" w:rsidP="00E67595">
      <w:pPr>
        <w:pStyle w:val="a4"/>
        <w:numPr>
          <w:ilvl w:val="0"/>
          <w:numId w:val="6"/>
        </w:numPr>
        <w:ind w:left="426"/>
      </w:pPr>
      <w:r w:rsidRPr="002C36D3">
        <w:t xml:space="preserve">Εφαρμόζεται ο </w:t>
      </w:r>
      <w:r w:rsidRPr="00FB5CD5">
        <w:rPr>
          <w:b/>
          <w:bCs/>
        </w:rPr>
        <w:t>κανόνας τελευταίου έργου</w:t>
      </w:r>
      <w:r w:rsidRPr="002C36D3">
        <w:t xml:space="preserve">, σύμφωνα με τον οποίο επιτρέπεται το τελευταίο </w:t>
      </w:r>
      <w:r w:rsidRPr="002C36D3">
        <w:lastRenderedPageBreak/>
        <w:t xml:space="preserve">έργο που θα επιλεγεί με βάση τη σειρά κατάταξης να οδηγεί σε υπέρβαση της </w:t>
      </w:r>
      <w:r w:rsidR="00CA7A8B">
        <w:t>α</w:t>
      </w:r>
      <w:r w:rsidRPr="002C36D3">
        <w:t xml:space="preserve">κριβούς δημοπρατούμενης ισχύος. Ειδικότερα επιτρέπεται να επιλεγεί </w:t>
      </w:r>
      <w:r w:rsidR="00CA7A8B">
        <w:t>Σ.Α.Η.Ε.</w:t>
      </w:r>
      <w:r w:rsidRPr="002C36D3">
        <w:t xml:space="preserve"> εφόσον το μέρος </w:t>
      </w:r>
      <w:r w:rsidR="00CA7A8B">
        <w:t>της Μέγιστης Ισχύος Έγχυσης</w:t>
      </w:r>
      <w:r w:rsidR="00410132">
        <w:t xml:space="preserve"> </w:t>
      </w:r>
      <w:r w:rsidR="00CA7A8B">
        <w:t xml:space="preserve">το οποίο </w:t>
      </w:r>
      <w:r w:rsidRPr="002C36D3">
        <w:t xml:space="preserve">οδηγεί σε υπέρβαση της </w:t>
      </w:r>
      <w:r w:rsidR="00CA7A8B">
        <w:t>α</w:t>
      </w:r>
      <w:r w:rsidRPr="002C36D3">
        <w:t xml:space="preserve">κριβούς δημοπρατούμενης ισχύος δεν ξεπερνά συνολικά το ποσοστό </w:t>
      </w:r>
      <w:r>
        <w:t>πέντε</w:t>
      </w:r>
      <w:r w:rsidRPr="002C36D3">
        <w:t xml:space="preserve"> τοις εκατό (</w:t>
      </w:r>
      <w:r>
        <w:t>5</w:t>
      </w:r>
      <w:r w:rsidRPr="002C36D3">
        <w:t xml:space="preserve">%) επί της </w:t>
      </w:r>
      <w:r w:rsidR="00CA7A8B">
        <w:t>α</w:t>
      </w:r>
      <w:r w:rsidRPr="002C36D3">
        <w:t xml:space="preserve">κριβούς </w:t>
      </w:r>
      <w:r w:rsidR="00CA7A8B">
        <w:t>δ</w:t>
      </w:r>
      <w:r w:rsidRPr="002C36D3">
        <w:t xml:space="preserve">ημοπρατούμενης ισχύος. </w:t>
      </w:r>
      <w:r w:rsidR="00B05047" w:rsidRPr="00B05047">
        <w:t xml:space="preserve">Σε περίπτωση που η επιλογή του τελευταίου έργου οδηγεί σε υπέρβαση της </w:t>
      </w:r>
      <w:r w:rsidR="00CA7A8B">
        <w:t xml:space="preserve">ακριβούς </w:t>
      </w:r>
      <w:r w:rsidR="00B05047" w:rsidRPr="00B05047">
        <w:t xml:space="preserve">δημοπρατούμενης ισχύος μεγαλύτερη του ποσοστού αυτού, η αξιολόγηση προχωρά στο επόμενο, κατά σειρά μειοδοσίας, </w:t>
      </w:r>
      <w:r w:rsidR="00CA7A8B">
        <w:t>Σ.Α.Η.Ε</w:t>
      </w:r>
      <w:r w:rsidR="00B05047" w:rsidRPr="00B05047">
        <w:t xml:space="preserve">, το οποίο δεν οδηγεί σε μη αποδεκτή υπέρβαση της δημοπρατούμενης ισχύος. Η επιλογή Σ.Α.Η.Ε. καθ’ υπέρβαση της </w:t>
      </w:r>
      <w:r w:rsidR="00CA7A8B">
        <w:t xml:space="preserve">ακριβούς </w:t>
      </w:r>
      <w:r w:rsidR="00B05047" w:rsidRPr="00B05047">
        <w:t>δημοπρατούμενης ισχύος, κατά τα προαναφερθέντα, είναι δυνατή μόνο εφόσον η οικονομική του προσφορά στην Ανταγωνιστική Διαδικασία δεν υπερβαίνει κατά ποσοστό μεγαλύτερο του 10% την υψηλότερη προσφορά Σ.Α.Η.Ε. που επελέγη στο πλαίσιο της Ανταγωνιστικής Διαδικασίας χωρίς την εφαρμογή του κανόνα τελευταίου έργου.</w:t>
      </w:r>
    </w:p>
    <w:p w14:paraId="32D736CC" w14:textId="27E7A5F3" w:rsidR="0014236A" w:rsidRDefault="00CC4AC5" w:rsidP="00E67595">
      <w:pPr>
        <w:pStyle w:val="a4"/>
        <w:numPr>
          <w:ilvl w:val="0"/>
          <w:numId w:val="6"/>
        </w:numPr>
        <w:ind w:left="426"/>
      </w:pPr>
      <w:r>
        <w:t xml:space="preserve">Σε περίπτωση που δύο ή περισσότερες οικονομικές </w:t>
      </w:r>
      <w:r w:rsidR="009C580B">
        <w:t>Π</w:t>
      </w:r>
      <w:r>
        <w:t xml:space="preserve">ροσφορές </w:t>
      </w:r>
      <w:r w:rsidR="00B05047">
        <w:t>Σ</w:t>
      </w:r>
      <w:r>
        <w:t xml:space="preserve">υμμετεχόντων είναι ίσες και η επιλογή τους οδηγεί σε υπέρβαση της </w:t>
      </w:r>
      <w:r w:rsidR="009C580B">
        <w:t xml:space="preserve">ακριβούς </w:t>
      </w:r>
      <w:r>
        <w:t>δημοπρατούμενης ισχύος, πλέον του περιθωρίου που παρέχεται από τον κανόνα του τελευταίου έργου</w:t>
      </w:r>
      <w:r w:rsidR="00B05047">
        <w:t xml:space="preserve"> της ανωτέρω παραγράφου</w:t>
      </w:r>
      <w:r>
        <w:t xml:space="preserve">, τότε επιλέγονται </w:t>
      </w:r>
      <w:r w:rsidR="00B05047">
        <w:t>οι Σ.Α.Η.Ε.</w:t>
      </w:r>
      <w:r>
        <w:t xml:space="preserve"> με μεγαλύτερη </w:t>
      </w:r>
      <w:proofErr w:type="spellStart"/>
      <w:r>
        <w:t>αδειοδοτική</w:t>
      </w:r>
      <w:proofErr w:type="spellEnd"/>
      <w:r>
        <w:t xml:space="preserve"> ωριμότητα, για την οποία λαμβάνονται υπόψη η έγκριση περιβαλλοντικών όρων, η υποβολή αιτήματος για έκδοση όρων σύνδεσης από τον Διαχειριστή του Ε.Σ.Μ.Η.Ε. και η χορήγηση Οριστικής Προσφοράς Σύνδεσης</w:t>
      </w:r>
      <w:r w:rsidR="009C580B">
        <w:t>.</w:t>
      </w:r>
      <w:r>
        <w:t xml:space="preserve">. </w:t>
      </w:r>
    </w:p>
    <w:p w14:paraId="73125180" w14:textId="44407821" w:rsidR="00CC4AC5" w:rsidRDefault="00CC4AC5" w:rsidP="00E67595">
      <w:pPr>
        <w:pStyle w:val="a4"/>
        <w:numPr>
          <w:ilvl w:val="0"/>
          <w:numId w:val="6"/>
        </w:numPr>
        <w:ind w:left="426"/>
      </w:pPr>
      <w:r>
        <w:t xml:space="preserve">Σε περίπτωση Σ.Α.Η.Ε. με ίσες οικονομικές </w:t>
      </w:r>
      <w:r w:rsidR="00A362A3">
        <w:t>Π</w:t>
      </w:r>
      <w:r>
        <w:t xml:space="preserve">ροσφορές και ίδιο επίπεδο </w:t>
      </w:r>
      <w:proofErr w:type="spellStart"/>
      <w:r>
        <w:t>αδειοδοτικής</w:t>
      </w:r>
      <w:proofErr w:type="spellEnd"/>
      <w:r>
        <w:t xml:space="preserve"> ωριμότητας, οι </w:t>
      </w:r>
      <w:r w:rsidR="00DB65BC">
        <w:t xml:space="preserve">Συμμετέχοντες - </w:t>
      </w:r>
      <w:r>
        <w:t xml:space="preserve">Κάτοχοι των συγκεκριμένων </w:t>
      </w:r>
      <w:r w:rsidR="00DB65BC">
        <w:t>Σ.Α.Η.Ε.</w:t>
      </w:r>
      <w:r>
        <w:t xml:space="preserve"> καλούνται από τη Ρ.Α.Α.Ε.Υ. να υποβάλουν </w:t>
      </w:r>
      <w:proofErr w:type="spellStart"/>
      <w:r>
        <w:t>επικαιροποιημένες</w:t>
      </w:r>
      <w:proofErr w:type="spellEnd"/>
      <w:r>
        <w:t xml:space="preserve"> οικονομικές προσφορές,</w:t>
      </w:r>
      <w:r w:rsidR="00410132">
        <w:t xml:space="preserve"> </w:t>
      </w:r>
      <w:r w:rsidR="00DB65BC">
        <w:t xml:space="preserve">εντός δύο (2) εργάσιμων ημερών από τη σχετική έγγραφη </w:t>
      </w:r>
      <w:r w:rsidR="00410132">
        <w:t>ενημέρωση</w:t>
      </w:r>
      <w:r w:rsidR="00DB65BC">
        <w:t xml:space="preserve"> της Ρ.Α.Α.Ε.Υ.</w:t>
      </w:r>
      <w:r w:rsidR="00A362A3">
        <w:t xml:space="preserve"> Σε περίπτωση που υποβληθούν εκ νέου ίσες οικονομικές Προσφορές, οι Συμμετέχοντες αποκλείονται από την Ανταγωνιστική Διαδικασία και η </w:t>
      </w:r>
      <w:r w:rsidR="00410132">
        <w:t>υπολειπόμενη</w:t>
      </w:r>
      <w:r w:rsidR="00A362A3">
        <w:t xml:space="preserve"> ισχύς προστίθεται στην επόμενη Ανταγωνιστική Διαδικασία. </w:t>
      </w:r>
    </w:p>
    <w:p w14:paraId="5450FBCF" w14:textId="77777777" w:rsidR="00D3106F" w:rsidRPr="002C36D3" w:rsidRDefault="00D3106F" w:rsidP="00D3106F">
      <w:pPr>
        <w:pStyle w:val="a4"/>
        <w:ind w:left="426"/>
      </w:pPr>
    </w:p>
    <w:p w14:paraId="306EC508" w14:textId="3D1E2E96" w:rsidR="000546D5" w:rsidRDefault="00714BA4" w:rsidP="00E76414">
      <w:r w:rsidRPr="004E7B57">
        <w:rPr>
          <w:b/>
          <w:bCs/>
        </w:rPr>
        <w:t>1</w:t>
      </w:r>
      <w:r w:rsidR="00A12A56" w:rsidRPr="004E7B57">
        <w:rPr>
          <w:b/>
          <w:bCs/>
        </w:rPr>
        <w:t>2</w:t>
      </w:r>
      <w:r w:rsidRPr="004E7B57">
        <w:rPr>
          <w:b/>
          <w:bCs/>
        </w:rPr>
        <w:t>.</w:t>
      </w:r>
      <w:r w:rsidR="00A362A3">
        <w:rPr>
          <w:b/>
          <w:bCs/>
        </w:rPr>
        <w:t>7</w:t>
      </w:r>
      <w:r w:rsidR="0088015A" w:rsidRPr="004E7B57">
        <w:rPr>
          <w:b/>
          <w:bCs/>
        </w:rPr>
        <w:t>.</w:t>
      </w:r>
      <w:r w:rsidRPr="004E7B57">
        <w:t xml:space="preserve"> </w:t>
      </w:r>
      <w:r w:rsidR="00856EDC" w:rsidRPr="004E7B57">
        <w:t>Για την αξιολόγηση των Αιτήσεων Συμμετοχής και των λοιπών εγγράφων και δικαιολογητικών, καθώς και των ενστάσεων της παρ</w:t>
      </w:r>
      <w:r w:rsidR="00856EDC" w:rsidRPr="00E23D97">
        <w:t>.</w:t>
      </w:r>
      <w:r w:rsidR="009B5FBA" w:rsidRPr="00E23D97">
        <w:t xml:space="preserve"> 1</w:t>
      </w:r>
      <w:r w:rsidR="002D633E" w:rsidRPr="00E23D97">
        <w:t>2</w:t>
      </w:r>
      <w:r w:rsidR="009B5FBA" w:rsidRPr="00E23D97">
        <w:t>.</w:t>
      </w:r>
      <w:r w:rsidR="002D633E" w:rsidRPr="00E23D97">
        <w:t>4</w:t>
      </w:r>
      <w:r w:rsidR="009B5FBA" w:rsidRPr="00E23D97">
        <w:t>.</w:t>
      </w:r>
      <w:r w:rsidR="00856EDC" w:rsidRPr="004E7B57">
        <w:t xml:space="preserve"> η </w:t>
      </w:r>
      <w:r w:rsidR="00CF21E9" w:rsidRPr="004E7B57">
        <w:t>Ρ.Α.Α.Ε.Υ.</w:t>
      </w:r>
      <w:r w:rsidR="00856EDC" w:rsidRPr="004E7B57">
        <w:t xml:space="preserve"> </w:t>
      </w:r>
      <w:r w:rsidR="00160D17" w:rsidRPr="004E7B57">
        <w:t xml:space="preserve">δύναται να ζητήσει </w:t>
      </w:r>
      <w:r w:rsidR="00856EDC" w:rsidRPr="004E7B57">
        <w:t>την εισήγηση του Διαχειριστή</w:t>
      </w:r>
      <w:r w:rsidRPr="004E7B57">
        <w:t xml:space="preserve"> του ΕΣΜΗΕ</w:t>
      </w:r>
      <w:r w:rsidR="004975FC" w:rsidRPr="004E7B57">
        <w:t xml:space="preserve"> για ζητήματα αρμοδιότητάς του</w:t>
      </w:r>
      <w:r w:rsidR="00856EDC" w:rsidRPr="004E7B57">
        <w:t xml:space="preserve">, η οποία υποβάλλεται στη </w:t>
      </w:r>
      <w:r w:rsidR="00CF21E9" w:rsidRPr="004E7B57">
        <w:t>Ρ.Α.Α.Ε.Υ.</w:t>
      </w:r>
      <w:r w:rsidR="00856EDC" w:rsidRPr="004E7B57">
        <w:t xml:space="preserve">, κατόπιν αιτήματός της το αργότερο εντός </w:t>
      </w:r>
      <w:r w:rsidR="00E23D97">
        <w:t>δεκαπέντε</w:t>
      </w:r>
      <w:r w:rsidR="00A12A56" w:rsidRPr="004E7B57">
        <w:t xml:space="preserve"> </w:t>
      </w:r>
      <w:r w:rsidR="00856EDC" w:rsidRPr="004E7B57">
        <w:t>(</w:t>
      </w:r>
      <w:r w:rsidR="00E23D97">
        <w:t>15</w:t>
      </w:r>
      <w:r w:rsidR="00856EDC" w:rsidRPr="004E7B57">
        <w:t xml:space="preserve">) ημερών από τη λήξη της προθεσμίας υποβολής των Αιτήσεων Συμμετοχής και </w:t>
      </w:r>
      <w:r w:rsidR="00E23D97">
        <w:t>μίας</w:t>
      </w:r>
      <w:r w:rsidR="00856EDC" w:rsidRPr="004E7B57">
        <w:t xml:space="preserve"> (</w:t>
      </w:r>
      <w:r w:rsidR="00E23D97">
        <w:t>1</w:t>
      </w:r>
      <w:r w:rsidR="00856EDC" w:rsidRPr="004E7B57">
        <w:t xml:space="preserve">) </w:t>
      </w:r>
      <w:r w:rsidR="00E23D97">
        <w:t>ημέρας</w:t>
      </w:r>
      <w:r w:rsidR="00856EDC" w:rsidRPr="004E7B57">
        <w:t xml:space="preserve"> από τη λήξη της προθεσμίας υποβολής των ενστάσεων, αντίστοιχα.</w:t>
      </w:r>
    </w:p>
    <w:p w14:paraId="3D7578E5" w14:textId="77777777" w:rsidR="00D3106F" w:rsidRDefault="00D3106F" w:rsidP="00E76414"/>
    <w:p w14:paraId="3772CF12" w14:textId="37E2E179" w:rsidR="00BC4424" w:rsidRDefault="00FB0DBF" w:rsidP="00BC4424">
      <w:r>
        <w:rPr>
          <w:b/>
          <w:bCs/>
        </w:rPr>
        <w:t>12</w:t>
      </w:r>
      <w:r w:rsidRPr="00FB0DBF">
        <w:rPr>
          <w:b/>
          <w:bCs/>
        </w:rPr>
        <w:t>.</w:t>
      </w:r>
      <w:r w:rsidR="00A362A3">
        <w:rPr>
          <w:b/>
          <w:bCs/>
        </w:rPr>
        <w:t>8.</w:t>
      </w:r>
      <w:r w:rsidRPr="00FB0DBF">
        <w:t xml:space="preserve"> Η Ρ.Α.Α.Ε.Υ. </w:t>
      </w:r>
      <w:r w:rsidR="00A362A3">
        <w:t xml:space="preserve">κατόπιν ολοκλήρωσης της διαδικασίας κατάταξης των οικονομικών Προσφορών, </w:t>
      </w:r>
      <w:r w:rsidRPr="00FB0DBF">
        <w:t xml:space="preserve">καταρτίζει </w:t>
      </w:r>
      <w:r>
        <w:t>με Απόφασή της</w:t>
      </w:r>
      <w:r w:rsidRPr="00FB0DBF">
        <w:t xml:space="preserve">, </w:t>
      </w:r>
      <w:r>
        <w:t xml:space="preserve">σύμφωνα με το </w:t>
      </w:r>
      <w:r w:rsidRPr="00FB0DBF">
        <w:t>χρονοδιάγραμμα του Πίνακα 2 του Παραρτήματος Α, τον Οριστικό Κατάλογο Επιλεγέντων, Αποκλεισθέντων και Επιλαχόντων Συμμετεχόντων, τον οποίο αναρτά στην ιστοσελίδα της και ενημερών</w:t>
      </w:r>
      <w:r w:rsidR="00A362A3">
        <w:t>ει</w:t>
      </w:r>
      <w:r w:rsidRPr="00FB0DBF">
        <w:t xml:space="preserve"> ηλεκτρονικά </w:t>
      </w:r>
      <w:r w:rsidR="00A362A3">
        <w:t>τους</w:t>
      </w:r>
      <w:r w:rsidRPr="00FB0DBF">
        <w:t xml:space="preserve"> Συμμετέχοντες στις διευθύνσεις ηλεκτρονικής αλληλογραφίας που έχουν δηλώσει με την Αίτηση Συμμετοχής. </w:t>
      </w:r>
      <w:r w:rsidR="00BC4424" w:rsidRPr="00BC4424">
        <w:t xml:space="preserve">Ειδικότερα ως Επιλαχόντες επιλέγονται Συμμετέχοντες συνολικής ισχύος έως 30% της </w:t>
      </w:r>
      <w:r w:rsidR="00BC4424">
        <w:t>ακριβούς</w:t>
      </w:r>
      <w:r w:rsidR="00BC4424" w:rsidRPr="00BC4424">
        <w:t xml:space="preserve"> δημοπρατούμενης </w:t>
      </w:r>
      <w:r w:rsidR="00BC4424">
        <w:t xml:space="preserve">ισχύος </w:t>
      </w:r>
      <w:r w:rsidR="00BC4424" w:rsidRPr="00BC4424">
        <w:t xml:space="preserve">και κατατάσσονται κατ’ αύξουσα σειρά </w:t>
      </w:r>
      <w:r w:rsidR="00BC4424">
        <w:t>οικονομικών Π</w:t>
      </w:r>
      <w:r w:rsidR="00BC4424" w:rsidRPr="00BC4424">
        <w:t>ροσφορών στην Ανταγωνιστική Διαδικασία.</w:t>
      </w:r>
    </w:p>
    <w:p w14:paraId="7C15B637" w14:textId="77777777" w:rsidR="00D3106F" w:rsidRPr="00BC4424" w:rsidRDefault="00D3106F" w:rsidP="00BC4424"/>
    <w:p w14:paraId="21913CC2" w14:textId="67FC60AD" w:rsidR="00FB0DBF" w:rsidRDefault="003110FE" w:rsidP="00FB0DBF">
      <w:r>
        <w:rPr>
          <w:b/>
          <w:bCs/>
        </w:rPr>
        <w:t>12</w:t>
      </w:r>
      <w:r w:rsidR="00FB0DBF" w:rsidRPr="00FB0DBF">
        <w:rPr>
          <w:b/>
          <w:bCs/>
        </w:rPr>
        <w:t>.</w:t>
      </w:r>
      <w:r w:rsidR="00F211E1">
        <w:rPr>
          <w:b/>
          <w:bCs/>
        </w:rPr>
        <w:t>9</w:t>
      </w:r>
      <w:r w:rsidR="00FB0DBF" w:rsidRPr="00FB0DBF">
        <w:rPr>
          <w:b/>
          <w:bCs/>
        </w:rPr>
        <w:t>.</w:t>
      </w:r>
      <w:r w:rsidR="00FB0DBF" w:rsidRPr="00FB0DBF">
        <w:t xml:space="preserve"> Οι Επιλαχόντες Συμμετέχοντες δεν δύνανται να συμμετάσχουν σε επόμενη Ανταγωνιστική Διαδικασία, παρά μόνο μετά την υποβολή αιτήματος </w:t>
      </w:r>
      <w:proofErr w:type="spellStart"/>
      <w:r w:rsidR="00FB0DBF" w:rsidRPr="00FB0DBF">
        <w:t>απένταξής</w:t>
      </w:r>
      <w:proofErr w:type="spellEnd"/>
      <w:r w:rsidR="00FB0DBF" w:rsidRPr="00FB0DBF">
        <w:t xml:space="preserve"> τους από τον Οριστικό Κατάλογο Επιλεγέντων, Αποκλεισθέντων και Επιλαχόντων Συμμετεχόντων και επιστροφής της Εγγυητικής Επιστολής Συμμετοχής.</w:t>
      </w:r>
    </w:p>
    <w:p w14:paraId="559C5216" w14:textId="77777777" w:rsidR="00D3106F" w:rsidRPr="00FB0DBF" w:rsidRDefault="00D3106F" w:rsidP="00FB0DBF"/>
    <w:p w14:paraId="5BD4B3D2" w14:textId="737744F3" w:rsidR="00FB0DBF" w:rsidRDefault="003110FE" w:rsidP="00FB0DBF">
      <w:r>
        <w:rPr>
          <w:b/>
          <w:bCs/>
        </w:rPr>
        <w:t>12</w:t>
      </w:r>
      <w:r w:rsidR="00FB0DBF" w:rsidRPr="00FB0DBF">
        <w:rPr>
          <w:b/>
          <w:bCs/>
        </w:rPr>
        <w:t>.</w:t>
      </w:r>
      <w:r>
        <w:rPr>
          <w:b/>
          <w:bCs/>
        </w:rPr>
        <w:t>1</w:t>
      </w:r>
      <w:r w:rsidR="00F211E1">
        <w:rPr>
          <w:b/>
          <w:bCs/>
        </w:rPr>
        <w:t>0</w:t>
      </w:r>
      <w:r w:rsidR="00FB0DBF" w:rsidRPr="00FB0DBF">
        <w:rPr>
          <w:b/>
          <w:bCs/>
        </w:rPr>
        <w:t xml:space="preserve">. </w:t>
      </w:r>
      <w:r w:rsidR="00FB0DBF" w:rsidRPr="00FB0DBF">
        <w:t xml:space="preserve">Η επιλογή Επιλαχόντων σε αντικατάσταση Επιλεγέντων Συμμετεχόντων αφορά περιπτώσεις αποχώρησης – </w:t>
      </w:r>
      <w:proofErr w:type="spellStart"/>
      <w:r w:rsidR="00FB0DBF" w:rsidRPr="00FB0DBF">
        <w:t>απένταξης</w:t>
      </w:r>
      <w:proofErr w:type="spellEnd"/>
      <w:r w:rsidR="00FB0DBF" w:rsidRPr="00FB0DBF">
        <w:t xml:space="preserve"> </w:t>
      </w:r>
      <w:r w:rsidR="00F211E1" w:rsidRPr="00FB0DBF">
        <w:t>Επιλεγέντων</w:t>
      </w:r>
      <w:r w:rsidR="00FB0DBF" w:rsidRPr="00FB0DBF">
        <w:t xml:space="preserve"> Συμμετεχόντων που τυγχάνουν αποκλειστικά εντός του χρονικού διαστήματος τριών (3) μηνών από τη δημοσίευση του Οριστικού Καταλόγου Επιλεγέντων, </w:t>
      </w:r>
      <w:r w:rsidR="00FB0DBF" w:rsidRPr="00FB0DBF">
        <w:lastRenderedPageBreak/>
        <w:t xml:space="preserve">Αποκλεισθέντων και Επιλαχόντων Συμμετεχόντων και το αργότερο μέχρι τη λήξη της προθεσμίας υποβολής της Εγγυητικής Επιστολής Έγκαιρης και Έντεχνης Εκτέλεσης της παρ. </w:t>
      </w:r>
      <w:r w:rsidR="00FB0DBF" w:rsidRPr="004F570F">
        <w:t>11.</w:t>
      </w:r>
      <w:r w:rsidR="00FB5CD5" w:rsidRPr="004F570F">
        <w:t>3</w:t>
      </w:r>
      <w:r w:rsidR="00FB0DBF" w:rsidRPr="004F570F">
        <w:t>.2.</w:t>
      </w:r>
      <w:r w:rsidR="00FB0DBF" w:rsidRPr="00FB0DBF">
        <w:t xml:space="preserve"> </w:t>
      </w:r>
      <w:proofErr w:type="spellStart"/>
      <w:r w:rsidR="00FB0DBF" w:rsidRPr="00FB0DBF">
        <w:t>Απένταξη</w:t>
      </w:r>
      <w:proofErr w:type="spellEnd"/>
      <w:r w:rsidR="00FB0DBF" w:rsidRPr="00FB0DBF">
        <w:t xml:space="preserve"> Επιλεγέντων Συμμετεχόντων δύναται να προκληθεί και από απόρριψη του αιτήματος κατάτμησης ή τροποποίησης της ισχύουσας Άδειας Αποθήκευσης του Σ.Α.Η.Ε. από τη Ρ.Α.Α.Ε.Υ., το οποίο κατατίθεται με την «Αίτηση Συμμετοχής - Δικαιολογητικά Συμμετοχής», σύμφωνα με τα οριζόμενα στην παρ. </w:t>
      </w:r>
      <w:r w:rsidR="00FB0DBF" w:rsidRPr="00F211E1">
        <w:t>11.</w:t>
      </w:r>
      <w:r w:rsidR="00E30FE4">
        <w:t>2</w:t>
      </w:r>
      <w:r w:rsidR="00FB0DBF" w:rsidRPr="00F211E1">
        <w:t>.</w:t>
      </w:r>
      <w:r w:rsidR="00FB0DBF" w:rsidRPr="00FB5CD5">
        <w:t>1.</w:t>
      </w:r>
      <w:r w:rsidR="002D633E" w:rsidRPr="00FB5CD5">
        <w:t>(</w:t>
      </w:r>
      <w:r w:rsidR="002D633E">
        <w:t>γ)</w:t>
      </w:r>
      <w:r w:rsidR="00FB5CD5">
        <w:t>.</w:t>
      </w:r>
      <w:r w:rsidR="00FB0DBF" w:rsidRPr="00FB0DBF">
        <w:t xml:space="preserve"> Κατά τη διαδικασία επιλογής, η Ρ.Α.Α.Ε.Υ., κατόπιν διαδοχικής εξέτασης, λαμβάνει υπόψη την αύξουσα σειρά κατάταξης και την Ισχύ Συμμετοχής εκάστου Επιλαχόντος, </w:t>
      </w:r>
      <w:proofErr w:type="spellStart"/>
      <w:r w:rsidR="00FB0DBF" w:rsidRPr="00FB0DBF">
        <w:t>εφαρμοζομένου</w:t>
      </w:r>
      <w:proofErr w:type="spellEnd"/>
      <w:r w:rsidR="00FB0DBF" w:rsidRPr="00FB0DBF">
        <w:t xml:space="preserve"> του κανόνα του τελευταίου έργου της παρ. </w:t>
      </w:r>
      <w:r w:rsidR="00FB0DBF" w:rsidRPr="00D3106F">
        <w:t>12.</w:t>
      </w:r>
      <w:r w:rsidR="00FB5CD5" w:rsidRPr="007868F9">
        <w:t>6</w:t>
      </w:r>
      <w:r w:rsidR="00FB0DBF" w:rsidRPr="007868F9">
        <w:t>,</w:t>
      </w:r>
      <w:r w:rsidR="00FB0DBF" w:rsidRPr="00FB0DBF">
        <w:t xml:space="preserve"> προκειμένου για την πλήρη, κατά το δυνατόν, κάλυψη της Ισχύος Συμμετοχής του Επιλεγέντος Συμμετέχοντος που υποκαθίσταται, από έναν ή περισσότερους Επιλαχόντες σε διαδοχική ή μη σειρά κατάταξης. Σε περίπτωση μη δυνατότητας κάλυψης </w:t>
      </w:r>
      <w:proofErr w:type="spellStart"/>
      <w:r w:rsidR="00FB0DBF" w:rsidRPr="00FB0DBF">
        <w:t>καθ΄ολοκληρίαν</w:t>
      </w:r>
      <w:proofErr w:type="spellEnd"/>
      <w:r w:rsidR="00FB0DBF" w:rsidRPr="00FB0DBF">
        <w:t xml:space="preserve"> της Ισχύος Συμμετοχής του Επιλεγέντος Συμμετέχοντα που υποκαθίσταται, η υπολειπόμενη ισχύς δύναται να προστεθεί στην Β’ Ανταγωνιστική Διαδικασία, εφόσον δεν έχει δημοσιευθεί η σχετική Προκήρυξη.</w:t>
      </w:r>
    </w:p>
    <w:p w14:paraId="24D1446A" w14:textId="77777777" w:rsidR="00D3106F" w:rsidRPr="00FB0DBF" w:rsidRDefault="00D3106F" w:rsidP="00FB0DBF"/>
    <w:p w14:paraId="0A0354DC" w14:textId="387BF85C" w:rsidR="00FB0DBF" w:rsidRPr="00FB0DBF" w:rsidRDefault="00A7306F" w:rsidP="00FB0DBF">
      <w:r>
        <w:rPr>
          <w:b/>
          <w:bCs/>
        </w:rPr>
        <w:t>12</w:t>
      </w:r>
      <w:r w:rsidR="00FB0DBF" w:rsidRPr="00FB0DBF">
        <w:rPr>
          <w:b/>
          <w:bCs/>
        </w:rPr>
        <w:t>.</w:t>
      </w:r>
      <w:r>
        <w:rPr>
          <w:b/>
          <w:bCs/>
        </w:rPr>
        <w:t>1</w:t>
      </w:r>
      <w:r w:rsidR="00F211E1">
        <w:rPr>
          <w:b/>
          <w:bCs/>
        </w:rPr>
        <w:t>1</w:t>
      </w:r>
      <w:r>
        <w:rPr>
          <w:b/>
          <w:bCs/>
        </w:rPr>
        <w:t>.</w:t>
      </w:r>
      <w:r w:rsidR="00FB0DBF" w:rsidRPr="00FB0DBF">
        <w:rPr>
          <w:b/>
          <w:bCs/>
        </w:rPr>
        <w:t xml:space="preserve"> </w:t>
      </w:r>
      <w:r w:rsidR="00FB0DBF" w:rsidRPr="00FB0DBF">
        <w:t xml:space="preserve">Κατά της απόφασης Ρ.Α.Α.Ε.Υ. με τον Οριστικό Κατάλογο Επιλεγέντων, Αποκλεισθέντων και Επιλαχόντων Συμμετεχόντων, χωρεί αίτηση αναθεώρησης </w:t>
      </w:r>
      <w:proofErr w:type="spellStart"/>
      <w:r w:rsidR="00FB0DBF" w:rsidRPr="00FB0DBF">
        <w:t>κατ</w:t>
      </w:r>
      <w:proofErr w:type="spellEnd"/>
      <w:r w:rsidR="00FB0DBF" w:rsidRPr="00FB0DBF">
        <w:t xml:space="preserve">΄ εφαρμογή των άρθρων 32 και 33 του ν. 4001/2011, εντός προθεσμίας τριάντα (30) ημερών, η οποία υπολογίζεται από την ανάρτηση των σχετικών πράξεων κατά τα ανωτέρω. </w:t>
      </w:r>
    </w:p>
    <w:p w14:paraId="001E8B59" w14:textId="77777777" w:rsidR="003915E7" w:rsidRDefault="003915E7" w:rsidP="003915E7"/>
    <w:p w14:paraId="1C885F97" w14:textId="6B2C6D08" w:rsidR="000546D5" w:rsidRPr="004E7B57" w:rsidRDefault="00856EDC" w:rsidP="002566EC">
      <w:pPr>
        <w:pStyle w:val="10"/>
      </w:pPr>
      <w:r w:rsidRPr="004E7B57">
        <w:t>ΚΕΦΑΛΑΙΟ Δ’</w:t>
      </w:r>
    </w:p>
    <w:p w14:paraId="36C7D7C8" w14:textId="6BFD1787" w:rsidR="000546D5" w:rsidRPr="004E7B57" w:rsidRDefault="00856EDC" w:rsidP="002566EC">
      <w:pPr>
        <w:pStyle w:val="20"/>
      </w:pPr>
      <w:r w:rsidRPr="004E7B57">
        <w:t xml:space="preserve">Υλοποίηση του </w:t>
      </w:r>
      <w:r w:rsidR="0051228D" w:rsidRPr="004E7B57">
        <w:t>Σ.Α.Η.Ε.</w:t>
      </w:r>
      <w:r w:rsidRPr="004E7B57">
        <w:t xml:space="preserve">- Υποχρεώσεις </w:t>
      </w:r>
      <w:r w:rsidR="00CB4AB9" w:rsidRPr="004E7B57">
        <w:t>των Επιλεγέντων Συμμετεχόντων</w:t>
      </w:r>
    </w:p>
    <w:p w14:paraId="4EF8FB12" w14:textId="77777777" w:rsidR="001D091A" w:rsidRDefault="001D091A" w:rsidP="00E76414">
      <w:pPr>
        <w:pStyle w:val="a3"/>
      </w:pPr>
    </w:p>
    <w:p w14:paraId="7F31AB06" w14:textId="77777777" w:rsidR="00D3106F" w:rsidRPr="004E7B57" w:rsidRDefault="00D3106F" w:rsidP="00E76414">
      <w:pPr>
        <w:pStyle w:val="a3"/>
      </w:pPr>
    </w:p>
    <w:p w14:paraId="2BADE8C7" w14:textId="069A8D31" w:rsidR="000546D5" w:rsidRPr="004E7B57" w:rsidRDefault="001D091A" w:rsidP="002566EC">
      <w:pPr>
        <w:pStyle w:val="20"/>
      </w:pPr>
      <w:r w:rsidRPr="004E7B57">
        <w:t>Άρθρο 1</w:t>
      </w:r>
      <w:r w:rsidR="001E0300">
        <w:t>3</w:t>
      </w:r>
    </w:p>
    <w:p w14:paraId="6F298633" w14:textId="14EF21D9" w:rsidR="001D091A" w:rsidRPr="004E7B57" w:rsidRDefault="001D091A" w:rsidP="002566EC">
      <w:pPr>
        <w:pStyle w:val="20"/>
      </w:pPr>
      <w:r w:rsidRPr="004E7B57">
        <w:t>Χορήγηση επενδυτικής ενίσχυσης</w:t>
      </w:r>
    </w:p>
    <w:p w14:paraId="5D6C329D" w14:textId="77777777" w:rsidR="001D091A" w:rsidRPr="004E7B57" w:rsidRDefault="001D091A" w:rsidP="00E76414"/>
    <w:p w14:paraId="40C4CFC2" w14:textId="5C66BBA0" w:rsidR="001D091A" w:rsidRPr="004E7B57" w:rsidRDefault="001D091A" w:rsidP="00E76414">
      <w:r w:rsidRPr="004E7B57">
        <w:t xml:space="preserve">Οι </w:t>
      </w:r>
      <w:r w:rsidR="006A1FEE" w:rsidRPr="004E7B57">
        <w:t xml:space="preserve">Κάτοχοι Ενισχυόμενων </w:t>
      </w:r>
      <w:r w:rsidRPr="004E7B57">
        <w:t>Σ.Α.Η.Ε. λαμβάνουν επενδυτική ενίσχυση</w:t>
      </w:r>
      <w:r w:rsidR="00F2748D" w:rsidRPr="004E7B57">
        <w:t xml:space="preserve"> </w:t>
      </w:r>
      <w:r w:rsidR="009B5FBA" w:rsidRPr="004E7B57">
        <w:t xml:space="preserve">διακοσίων χιλιάδων </w:t>
      </w:r>
      <w:r w:rsidRPr="004E7B57">
        <w:t xml:space="preserve">ευρώ ανά μεγαβάτ </w:t>
      </w:r>
      <w:r w:rsidR="004975FC" w:rsidRPr="004E7B57">
        <w:t>Μ</w:t>
      </w:r>
      <w:r w:rsidR="00C555A1" w:rsidRPr="004E7B57">
        <w:t xml:space="preserve">έγιστης </w:t>
      </w:r>
      <w:r w:rsidR="004975FC" w:rsidRPr="004E7B57">
        <w:t>Ισχύος Έ</w:t>
      </w:r>
      <w:r w:rsidR="00C555A1" w:rsidRPr="004E7B57">
        <w:t>γχ</w:t>
      </w:r>
      <w:r w:rsidR="004975FC" w:rsidRPr="004E7B57">
        <w:t>υσης</w:t>
      </w:r>
      <w:r w:rsidR="00C555A1" w:rsidRPr="004E7B57">
        <w:t xml:space="preserve"> </w:t>
      </w:r>
      <w:r w:rsidRPr="004E7B57">
        <w:t>(</w:t>
      </w:r>
      <w:r w:rsidR="009B5FBA" w:rsidRPr="004E7B57">
        <w:rPr>
          <w:b/>
          <w:bCs/>
        </w:rPr>
        <w:t xml:space="preserve">200.000 </w:t>
      </w:r>
      <w:r w:rsidRPr="004E7B57">
        <w:rPr>
          <w:b/>
          <w:bCs/>
        </w:rPr>
        <w:t>€/MW</w:t>
      </w:r>
      <w:r w:rsidRPr="004E7B57">
        <w:t xml:space="preserve">). </w:t>
      </w:r>
    </w:p>
    <w:p w14:paraId="3F1B49E8" w14:textId="77777777" w:rsidR="001D091A" w:rsidRPr="004E7B57" w:rsidRDefault="001D091A" w:rsidP="00E76414">
      <w:pPr>
        <w:pStyle w:val="a3"/>
      </w:pPr>
    </w:p>
    <w:p w14:paraId="49C7DAF5" w14:textId="53B6A18E" w:rsidR="000546D5" w:rsidRPr="004E7B57" w:rsidRDefault="00856EDC" w:rsidP="002566EC">
      <w:pPr>
        <w:pStyle w:val="20"/>
      </w:pPr>
      <w:r w:rsidRPr="004E7B57">
        <w:t>Άρθρο 1</w:t>
      </w:r>
      <w:r w:rsidR="001E0300">
        <w:t>4</w:t>
      </w:r>
    </w:p>
    <w:p w14:paraId="4FED77F1" w14:textId="7166D847" w:rsidR="00CB4AB9" w:rsidRPr="004E7B57" w:rsidRDefault="00D86DB5" w:rsidP="002566EC">
      <w:pPr>
        <w:pStyle w:val="20"/>
      </w:pPr>
      <w:r w:rsidRPr="004E7B57">
        <w:t>Μορφή, κανόνες και διάρκεια χ</w:t>
      </w:r>
      <w:r w:rsidR="00CB4AB9" w:rsidRPr="004E7B57">
        <w:t>ορήγησ</w:t>
      </w:r>
      <w:r w:rsidRPr="004E7B57">
        <w:t>ης</w:t>
      </w:r>
      <w:r w:rsidR="00CB4AB9" w:rsidRPr="004E7B57">
        <w:t xml:space="preserve"> λειτουργικής ενίσχυσης</w:t>
      </w:r>
    </w:p>
    <w:p w14:paraId="580C8502" w14:textId="77777777" w:rsidR="00D3106F" w:rsidRDefault="00D3106F" w:rsidP="00E76414"/>
    <w:p w14:paraId="3082D121" w14:textId="5C77CA8E" w:rsidR="00CB4AB9" w:rsidRPr="004E7B57" w:rsidRDefault="00CB4AB9" w:rsidP="00E76414">
      <w:pPr>
        <w:rPr>
          <w:b/>
          <w:bCs/>
        </w:rPr>
      </w:pPr>
      <w:r w:rsidRPr="004E7B57">
        <w:t xml:space="preserve">Οι </w:t>
      </w:r>
      <w:r w:rsidR="0051228D" w:rsidRPr="004E7B57">
        <w:t>Σ.Α.Η.Ε.</w:t>
      </w:r>
      <w:r w:rsidRPr="004E7B57">
        <w:t xml:space="preserve"> εντάσσονται σε καθεστώς στήριξης μέσω του οποίου λαμβάνουν λειτουργική ενίσχυση, πλέον της επενδυτικής ενίσχυσης του </w:t>
      </w:r>
      <w:r w:rsidRPr="00D3106F">
        <w:t>άρθρου</w:t>
      </w:r>
      <w:r w:rsidR="001D091A" w:rsidRPr="00D3106F">
        <w:t xml:space="preserve"> 1</w:t>
      </w:r>
      <w:r w:rsidR="001E0300" w:rsidRPr="00D3106F">
        <w:t>3</w:t>
      </w:r>
      <w:r w:rsidR="006A60F3" w:rsidRPr="00D3106F">
        <w:t xml:space="preserve">, σύμφωνα με </w:t>
      </w:r>
      <w:r w:rsidR="00D033D0" w:rsidRPr="00D3106F">
        <w:t xml:space="preserve">τα άρθρα 12-14 </w:t>
      </w:r>
      <w:r w:rsidR="006A60F3" w:rsidRPr="00D3106F">
        <w:t>τη</w:t>
      </w:r>
      <w:r w:rsidR="00D033D0" w:rsidRPr="00D3106F">
        <w:t>ς</w:t>
      </w:r>
      <w:r w:rsidR="006A60F3" w:rsidRPr="00D3106F">
        <w:t xml:space="preserve"> Υπουργική</w:t>
      </w:r>
      <w:r w:rsidR="00D033D0" w:rsidRPr="00D3106F">
        <w:t>ς</w:t>
      </w:r>
      <w:r w:rsidR="006A60F3" w:rsidRPr="00D3106F">
        <w:t xml:space="preserve"> Απόφαση</w:t>
      </w:r>
      <w:r w:rsidR="00D033D0" w:rsidRPr="00D3106F">
        <w:t>ς</w:t>
      </w:r>
      <w:r w:rsidR="00FE4DA4" w:rsidRPr="00D3106F">
        <w:t xml:space="preserve"> και </w:t>
      </w:r>
      <w:r w:rsidR="00A57584" w:rsidRPr="00D3106F">
        <w:t>της</w:t>
      </w:r>
      <w:r w:rsidR="00FE4DA4" w:rsidRPr="00D3106F">
        <w:t xml:space="preserve"> </w:t>
      </w:r>
      <w:r w:rsidR="00A57584" w:rsidRPr="00D3106F">
        <w:t xml:space="preserve">Απόφασης </w:t>
      </w:r>
      <w:r w:rsidR="00FE4DA4" w:rsidRPr="00D3106F">
        <w:t xml:space="preserve">της </w:t>
      </w:r>
      <w:r w:rsidR="00CF21E9" w:rsidRPr="00D3106F">
        <w:t>Ρ.Α.Α.Ε.Υ.</w:t>
      </w:r>
      <w:r w:rsidR="00FE4DA4" w:rsidRPr="00D3106F">
        <w:t>, δυνάμει</w:t>
      </w:r>
      <w:r w:rsidR="00FE4DA4" w:rsidRPr="004E7B57">
        <w:t xml:space="preserve"> της παρ. 5 του άρθρου 143ΣΤ του ν. 4001/2011.</w:t>
      </w:r>
      <w:r w:rsidR="004C1CCA" w:rsidRPr="004E7B57">
        <w:t xml:space="preserve"> Η Περίοδος Ενίσχυσης, εντός της οποίας καταβάλλεται λειτουργική ενίσχυση στους Ενισχυόμενους Σ.Α.Η.Ε., ορίζεται σε δέκα (10) έτη. Η Περίοδος Ενίσχυσης εκκινεί από την έκδοση της άδειας λειτουργίας των Σ.Α.Η.Ε. Απαραίτητη προϋπόθεση για την καταβολή της λειτουργικής ενίσχυσης είναι η σύναψη Σύμβασης Λειτουργικής Ενίσχυσης Σ.Α.Η.Ε. μεταξύ του Κατόχου του Ενισχυόμενου Σ.Α.Η.Ε. και του Διαχειριστή Α.Π.Ε. και Εγγυήσεων Προέλευσης</w:t>
      </w:r>
      <w:r w:rsidR="00E30FE4">
        <w:t xml:space="preserve">. </w:t>
      </w:r>
      <w:r w:rsidR="004C1CCA" w:rsidRPr="004E7B57">
        <w:t xml:space="preserve">Με τη σύναψη της Σύμβασης Λειτουργικής Ενίσχυσης Σ.Α.Η.Ε., ο Σ.Α.Η.Ε. εγγράφεται αυτομάτως στο Μητρώο </w:t>
      </w:r>
      <w:r w:rsidR="00520025" w:rsidRPr="004E7B57">
        <w:t>Σ</w:t>
      </w:r>
      <w:r w:rsidR="004C1CCA" w:rsidRPr="004E7B57">
        <w:t>ταθμών Α.Π.Ε. και ΣΗΘΥΑ που τηρεί ο Διαχειριστής Α.Π.Ε. και Εγγυήσεων Προέλευσης κατά τις διατάξεις του άρθρου 12Α του ν.</w:t>
      </w:r>
      <w:r w:rsidR="00E30FE4">
        <w:t xml:space="preserve"> </w:t>
      </w:r>
      <w:r w:rsidR="004C1CCA" w:rsidRPr="004E7B57">
        <w:t>4414/2016.</w:t>
      </w:r>
    </w:p>
    <w:p w14:paraId="2D3AD2D6" w14:textId="77777777" w:rsidR="000546D5" w:rsidRDefault="000546D5" w:rsidP="00E76414">
      <w:pPr>
        <w:pStyle w:val="a3"/>
      </w:pPr>
    </w:p>
    <w:p w14:paraId="77FF2117" w14:textId="77777777" w:rsidR="00403B0E" w:rsidRPr="004E7B57" w:rsidRDefault="00403B0E" w:rsidP="00E76414">
      <w:pPr>
        <w:pStyle w:val="a3"/>
      </w:pPr>
    </w:p>
    <w:p w14:paraId="44B71969" w14:textId="6EF78A90" w:rsidR="000546D5" w:rsidRPr="004E7B57" w:rsidRDefault="00856EDC" w:rsidP="002566EC">
      <w:pPr>
        <w:pStyle w:val="20"/>
      </w:pPr>
      <w:r w:rsidRPr="004E7B57">
        <w:lastRenderedPageBreak/>
        <w:t>Άρθρο 1</w:t>
      </w:r>
      <w:r w:rsidR="001E0300">
        <w:t>5</w:t>
      </w:r>
    </w:p>
    <w:p w14:paraId="583BB131" w14:textId="28FAF21E" w:rsidR="00B47C79" w:rsidRPr="004E7B57" w:rsidRDefault="000D6DF5" w:rsidP="002566EC">
      <w:pPr>
        <w:pStyle w:val="20"/>
      </w:pPr>
      <w:r w:rsidRPr="004E7B57">
        <w:t xml:space="preserve">Θέση σε λειτουργία των </w:t>
      </w:r>
      <w:r w:rsidR="0051228D" w:rsidRPr="004E7B57">
        <w:t>Σ.Α.Η.Ε.</w:t>
      </w:r>
      <w:r w:rsidRPr="004E7B57">
        <w:t>- Τ</w:t>
      </w:r>
      <w:r w:rsidR="00856EDC" w:rsidRPr="004E7B57">
        <w:t>ήρηση υποχρεώσεων</w:t>
      </w:r>
      <w:r w:rsidR="001308F2" w:rsidRPr="004E7B57">
        <w:t xml:space="preserve"> </w:t>
      </w:r>
      <w:r w:rsidR="00497B2F">
        <w:t>και τεχνικών απαιτήσεων</w:t>
      </w:r>
    </w:p>
    <w:p w14:paraId="3CFBCCAB" w14:textId="77777777" w:rsidR="00380349" w:rsidRPr="004E7B57" w:rsidRDefault="00380349" w:rsidP="00E76414"/>
    <w:p w14:paraId="0FD5C38D" w14:textId="3313CECE" w:rsidR="00DE5229" w:rsidRPr="004E7B57" w:rsidRDefault="001E0300" w:rsidP="001E0300">
      <w:r w:rsidRPr="001E0300">
        <w:rPr>
          <w:b/>
          <w:bCs/>
        </w:rPr>
        <w:t>15.1.</w:t>
      </w:r>
      <w:r>
        <w:t xml:space="preserve"> </w:t>
      </w:r>
      <w:r w:rsidR="00DE5229" w:rsidRPr="00D3106F">
        <w:rPr>
          <w:b/>
          <w:bCs/>
        </w:rPr>
        <w:t>Έναρξη εμπορικής λ</w:t>
      </w:r>
      <w:r w:rsidR="00C742F6" w:rsidRPr="00D3106F">
        <w:rPr>
          <w:b/>
          <w:bCs/>
        </w:rPr>
        <w:t>ε</w:t>
      </w:r>
      <w:r w:rsidR="00DE5229" w:rsidRPr="00D3106F">
        <w:rPr>
          <w:b/>
          <w:bCs/>
        </w:rPr>
        <w:t>ιτουργίας</w:t>
      </w:r>
      <w:r w:rsidR="00DE5229" w:rsidRPr="004E7B57">
        <w:t xml:space="preserve"> </w:t>
      </w:r>
    </w:p>
    <w:p w14:paraId="665D799B" w14:textId="419D0D3F" w:rsidR="00DE5229" w:rsidRDefault="000D6DF5" w:rsidP="00E76414">
      <w:r w:rsidRPr="004E7B57">
        <w:t xml:space="preserve">Οι Επιλεγέντες Συμμετέχοντες οφείλουν να </w:t>
      </w:r>
      <w:r w:rsidR="004975FC" w:rsidRPr="004E7B57">
        <w:t xml:space="preserve">ολοκληρώσουν </w:t>
      </w:r>
      <w:r w:rsidRPr="004E7B57">
        <w:t xml:space="preserve">την κατασκευή των </w:t>
      </w:r>
      <w:r w:rsidR="0051228D" w:rsidRPr="004E7B57">
        <w:t>Σ.Α.Η.Ε.</w:t>
      </w:r>
      <w:r w:rsidRPr="004E7B57">
        <w:t xml:space="preserve"> και </w:t>
      </w:r>
      <w:r w:rsidR="001D69B1" w:rsidRPr="004E7B57">
        <w:t>ν</w:t>
      </w:r>
      <w:r w:rsidRPr="004E7B57">
        <w:t>α τους θέσουν σε λειτουργία το αργότερο έως και την 31.12.2025</w:t>
      </w:r>
      <w:r w:rsidR="003163F6" w:rsidRPr="004E7B57">
        <w:t>.</w:t>
      </w:r>
      <w:r w:rsidR="001308F2" w:rsidRPr="004E7B57">
        <w:t xml:space="preserve"> Για τον σκοπό αυτό οφείλουν να </w:t>
      </w:r>
      <w:r w:rsidR="003163F6" w:rsidRPr="004E7B57">
        <w:t>υποβά</w:t>
      </w:r>
      <w:r w:rsidR="004975FC" w:rsidRPr="004E7B57">
        <w:t>λ</w:t>
      </w:r>
      <w:r w:rsidR="003163F6" w:rsidRPr="004E7B57">
        <w:t xml:space="preserve">λουν στη </w:t>
      </w:r>
      <w:r w:rsidR="00CF21E9" w:rsidRPr="004E7B57">
        <w:t>Ρ.Α.Α.Ε.Υ.</w:t>
      </w:r>
      <w:r w:rsidR="003163F6" w:rsidRPr="004E7B57">
        <w:t xml:space="preserve"> </w:t>
      </w:r>
      <w:r w:rsidR="00D033D0" w:rsidRPr="004E7B57">
        <w:t>τριμηνιαί</w:t>
      </w:r>
      <w:r w:rsidR="004975FC" w:rsidRPr="004E7B57">
        <w:t>ες</w:t>
      </w:r>
      <w:r w:rsidR="003163F6" w:rsidRPr="004E7B57">
        <w:t xml:space="preserve"> λεπτομερ</w:t>
      </w:r>
      <w:r w:rsidR="004975FC" w:rsidRPr="004E7B57">
        <w:t>είς</w:t>
      </w:r>
      <w:r w:rsidR="003163F6" w:rsidRPr="004E7B57">
        <w:t xml:space="preserve"> </w:t>
      </w:r>
      <w:r w:rsidR="004975FC" w:rsidRPr="004E7B57">
        <w:t>εκθέσεις</w:t>
      </w:r>
      <w:r w:rsidR="003163F6" w:rsidRPr="004E7B57">
        <w:t xml:space="preserve"> προόδου υλοποίηση</w:t>
      </w:r>
      <w:r w:rsidR="001308F2" w:rsidRPr="004E7B57">
        <w:t>ς</w:t>
      </w:r>
      <w:r w:rsidR="003163F6" w:rsidRPr="004E7B57">
        <w:t xml:space="preserve"> των </w:t>
      </w:r>
      <w:r w:rsidR="0051228D" w:rsidRPr="004E7B57">
        <w:t>Σ.Α.Η.Ε.</w:t>
      </w:r>
      <w:r w:rsidR="00201C3E" w:rsidRPr="004E7B57">
        <w:t xml:space="preserve"> </w:t>
      </w:r>
      <w:r w:rsidR="003163F6" w:rsidRPr="004E7B57">
        <w:t xml:space="preserve">Η </w:t>
      </w:r>
      <w:r w:rsidR="00CF21E9" w:rsidRPr="004E7B57">
        <w:t>Ρ.Α.Α.Ε.Υ.</w:t>
      </w:r>
      <w:r w:rsidR="003163F6" w:rsidRPr="004E7B57">
        <w:t xml:space="preserve"> παρακολουθεί την υλοποίηση των </w:t>
      </w:r>
      <w:r w:rsidR="0051228D" w:rsidRPr="004E7B57">
        <w:t>Σ.Α.Η.Ε.</w:t>
      </w:r>
      <w:r w:rsidR="003163F6" w:rsidRPr="004E7B57">
        <w:t xml:space="preserve"> και δύναται να ζητά την υποβολή </w:t>
      </w:r>
      <w:r w:rsidR="004975FC" w:rsidRPr="004E7B57">
        <w:t>συμπληρωματικών</w:t>
      </w:r>
      <w:r w:rsidR="003163F6" w:rsidRPr="004E7B57">
        <w:t xml:space="preserve"> στοιχείων από τους Επιλεγέντες</w:t>
      </w:r>
      <w:r w:rsidR="00F2748D" w:rsidRPr="004E7B57">
        <w:t xml:space="preserve"> </w:t>
      </w:r>
      <w:r w:rsidR="003163F6" w:rsidRPr="004E7B57">
        <w:t>Συμμετέχοντες, οι οποίοι είναι υποχρεωμένο</w:t>
      </w:r>
      <w:r w:rsidR="00457BA3" w:rsidRPr="004E7B57">
        <w:t>ι</w:t>
      </w:r>
      <w:r w:rsidR="003163F6" w:rsidRPr="004E7B57">
        <w:t xml:space="preserve"> να τα προσκομίζουν οποτεδήποτε</w:t>
      </w:r>
      <w:r w:rsidR="00F2748D" w:rsidRPr="004E7B57">
        <w:t xml:space="preserve"> </w:t>
      </w:r>
      <w:r w:rsidR="003163F6" w:rsidRPr="004E7B57">
        <w:t>ζητηθούν.</w:t>
      </w:r>
      <w:r w:rsidR="00DF2E4E" w:rsidRPr="004E7B57">
        <w:t xml:space="preserve"> </w:t>
      </w:r>
    </w:p>
    <w:p w14:paraId="39DAFB0F" w14:textId="77777777" w:rsidR="00D3106F" w:rsidRPr="004E7B57" w:rsidRDefault="00D3106F" w:rsidP="00E76414"/>
    <w:p w14:paraId="62331F79" w14:textId="6BE9F74C" w:rsidR="00DE5229" w:rsidRDefault="001E0300" w:rsidP="001E0300">
      <w:r w:rsidRPr="001E0300">
        <w:rPr>
          <w:b/>
          <w:bCs/>
        </w:rPr>
        <w:t>15.2.</w:t>
      </w:r>
      <w:r>
        <w:t xml:space="preserve"> </w:t>
      </w:r>
      <w:r w:rsidR="00497B2F" w:rsidRPr="00D3106F">
        <w:rPr>
          <w:b/>
          <w:bCs/>
        </w:rPr>
        <w:t>Τ</w:t>
      </w:r>
      <w:r w:rsidR="00DE5229" w:rsidRPr="00D3106F">
        <w:rPr>
          <w:b/>
          <w:bCs/>
        </w:rPr>
        <w:t>ήρηση</w:t>
      </w:r>
      <w:r w:rsidR="00497B2F" w:rsidRPr="00D3106F">
        <w:rPr>
          <w:b/>
          <w:bCs/>
        </w:rPr>
        <w:t xml:space="preserve"> υποχρεώσεων,</w:t>
      </w:r>
      <w:r w:rsidR="00DE5229" w:rsidRPr="00D3106F">
        <w:rPr>
          <w:b/>
          <w:bCs/>
        </w:rPr>
        <w:t xml:space="preserve"> τεχνικών </w:t>
      </w:r>
      <w:r w:rsidR="00497B2F" w:rsidRPr="00D3106F">
        <w:rPr>
          <w:b/>
          <w:bCs/>
        </w:rPr>
        <w:t xml:space="preserve">προδιαγραφών </w:t>
      </w:r>
      <w:r w:rsidR="00DE5229" w:rsidRPr="00D3106F">
        <w:rPr>
          <w:b/>
          <w:bCs/>
        </w:rPr>
        <w:t>και απαιτήσεων</w:t>
      </w:r>
    </w:p>
    <w:p w14:paraId="04E3A37D" w14:textId="4E3FDFBF" w:rsidR="003F796A" w:rsidRDefault="00DE5229" w:rsidP="00E67595">
      <w:pPr>
        <w:pStyle w:val="a4"/>
        <w:numPr>
          <w:ilvl w:val="0"/>
          <w:numId w:val="7"/>
        </w:numPr>
      </w:pPr>
      <w:r w:rsidRPr="004E7B57">
        <w:t xml:space="preserve">Οι κάτοχοι των Ενισχυόμενων Σ.Α.Η.Ε. οφείλουν </w:t>
      </w:r>
      <w:r w:rsidR="00295C17" w:rsidRPr="004E7B57">
        <w:t>να</w:t>
      </w:r>
      <w:r w:rsidRPr="004E7B57">
        <w:t xml:space="preserve"> τηρούν τα τεχνικά χαρακτηριστικά και τις απαιτήσεις </w:t>
      </w:r>
      <w:r w:rsidR="003F796A">
        <w:t xml:space="preserve">του παρόντος άρθρου, </w:t>
      </w:r>
      <w:r w:rsidR="00E30FE4">
        <w:t>των άρθρων 7 και</w:t>
      </w:r>
      <w:r w:rsidRPr="004E7B57">
        <w:t xml:space="preserve"> 8 της Υπουργικής Απόφασης και του </w:t>
      </w:r>
      <w:r w:rsidRPr="00D3106F">
        <w:t xml:space="preserve">Παραρτήματος </w:t>
      </w:r>
      <w:r w:rsidR="00EF5431" w:rsidRPr="00D3106F">
        <w:t>Η</w:t>
      </w:r>
      <w:r w:rsidRPr="004E7B57">
        <w:t xml:space="preserve"> </w:t>
      </w:r>
      <w:r w:rsidR="003F796A">
        <w:t xml:space="preserve">κατά την έναρξη λειτουργίας τους και </w:t>
      </w:r>
      <w:r w:rsidRPr="004E7B57">
        <w:t>καθ’ όλη τη διάρκεια υπαγωγής των Σ.Α.Η.Ε. στο σχήμα στήριξης.</w:t>
      </w:r>
    </w:p>
    <w:p w14:paraId="2484B4BE" w14:textId="0E7DED01" w:rsidR="003F796A" w:rsidRDefault="00ED5FD2" w:rsidP="00E67595">
      <w:pPr>
        <w:pStyle w:val="a4"/>
        <w:numPr>
          <w:ilvl w:val="0"/>
          <w:numId w:val="7"/>
        </w:numPr>
      </w:pPr>
      <w:r w:rsidRPr="004E7B57">
        <w:t xml:space="preserve">Οι </w:t>
      </w:r>
      <w:r w:rsidR="003C7F92">
        <w:t xml:space="preserve">κάτοχοι των </w:t>
      </w:r>
      <w:r w:rsidRPr="004E7B57">
        <w:t>Ενισχυόμεν</w:t>
      </w:r>
      <w:r w:rsidR="003C7F92">
        <w:t>ων</w:t>
      </w:r>
      <w:r w:rsidRPr="004E7B57">
        <w:t xml:space="preserve"> Σ.Α.Η.Ε. δε</w:t>
      </w:r>
      <w:r w:rsidR="0001073B" w:rsidRPr="004E7B57">
        <w:t>ν</w:t>
      </w:r>
      <w:r w:rsidRPr="004E7B57">
        <w:t xml:space="preserve"> δύνανται να προβούν σε μεταβολή της μέγιστης ισχύος έγχυσης ή της εγγυημένης χωρητικότητάς τους κατά τη διάρκεια της Περιόδου Ενίσχυσης.</w:t>
      </w:r>
    </w:p>
    <w:p w14:paraId="37C9BDD8" w14:textId="7B624402" w:rsidR="0035266B" w:rsidRPr="003F0DAE" w:rsidRDefault="003F796A" w:rsidP="00E67595">
      <w:pPr>
        <w:pStyle w:val="a4"/>
        <w:numPr>
          <w:ilvl w:val="0"/>
          <w:numId w:val="7"/>
        </w:numPr>
      </w:pPr>
      <w:r w:rsidRPr="003F796A">
        <w:t>Η τεχνολογία αποθήκευσης του Σ.Α.Η.Ε. να έχει χρησιμοποιηθεί διεθνώς σε εγκαταστάσεις αποθήκευσης ηλεκτρικής ενέργειας οι οποίες συμμετέχουν σε Αγορές ηλεκτρικής ενέργειας και έχουν τεθεί σε λειτουργία μετά την 01</w:t>
      </w:r>
      <w:r w:rsidRPr="0035266B">
        <w:rPr>
          <w:vertAlign w:val="superscript"/>
        </w:rPr>
        <w:t>η</w:t>
      </w:r>
      <w:r w:rsidRPr="003F796A">
        <w:t xml:space="preserve">.01.2018, συνολικής χωρητικότητας τουλάχιστον ίσης με 1.000 </w:t>
      </w:r>
      <w:proofErr w:type="spellStart"/>
      <w:r w:rsidRPr="003F796A">
        <w:t>MWh</w:t>
      </w:r>
      <w:proofErr w:type="spellEnd"/>
      <w:r w:rsidRPr="003F796A">
        <w:t xml:space="preserve">. </w:t>
      </w:r>
      <w:r w:rsidR="0035266B" w:rsidRPr="003F796A">
        <w:t xml:space="preserve">Από τον έλεγχο ικανοποίησης της συγκεκριμένης συνθήκης εξαιρούνται οι τεχνολογίες αποθήκευσης </w:t>
      </w:r>
      <w:proofErr w:type="spellStart"/>
      <w:r w:rsidR="0035266B" w:rsidRPr="003F796A">
        <w:t>αντλησιοταμίευσης</w:t>
      </w:r>
      <w:proofErr w:type="spellEnd"/>
      <w:r w:rsidR="0035266B" w:rsidRPr="003F796A">
        <w:t xml:space="preserve"> και συσσωρευτών ιόντων </w:t>
      </w:r>
      <w:proofErr w:type="spellStart"/>
      <w:r w:rsidR="0035266B" w:rsidRPr="003F796A">
        <w:t>λιθίου</w:t>
      </w:r>
      <w:proofErr w:type="spellEnd"/>
      <w:r w:rsidR="0035266B" w:rsidRPr="003F796A">
        <w:t>.</w:t>
      </w:r>
      <w:r w:rsidR="0035266B">
        <w:t xml:space="preserve"> </w:t>
      </w:r>
    </w:p>
    <w:p w14:paraId="081E27BB" w14:textId="5383CED8" w:rsidR="003C7F92" w:rsidRDefault="003C7F92" w:rsidP="00E67595">
      <w:pPr>
        <w:pStyle w:val="a4"/>
        <w:numPr>
          <w:ilvl w:val="0"/>
          <w:numId w:val="7"/>
        </w:numPr>
      </w:pPr>
      <w:r>
        <w:t>Οι ενισχυόμενοι Σ</w:t>
      </w:r>
      <w:r w:rsidR="00E167F1">
        <w:t>.</w:t>
      </w:r>
      <w:r>
        <w:t>Α</w:t>
      </w:r>
      <w:r w:rsidR="00E167F1">
        <w:t>.</w:t>
      </w:r>
      <w:r>
        <w:t>Η</w:t>
      </w:r>
      <w:r w:rsidR="00E167F1">
        <w:t>.</w:t>
      </w:r>
      <w:r>
        <w:t>Ε</w:t>
      </w:r>
      <w:r w:rsidR="00E167F1">
        <w:t>.</w:t>
      </w:r>
      <w:r>
        <w:t xml:space="preserve"> ν</w:t>
      </w:r>
      <w:r w:rsidR="003F796A" w:rsidRPr="003F796A">
        <w:t>α διαθέτ</w:t>
      </w:r>
      <w:r>
        <w:t>ουν</w:t>
      </w:r>
      <w:r w:rsidR="003F796A" w:rsidRPr="003F796A">
        <w:t xml:space="preserve"> βαθμό απόδοσης πλήρους κύκλου κατ’ ελάχιστον ίσο με 80%</w:t>
      </w:r>
      <w:r w:rsidR="00B24019" w:rsidRPr="00B24019">
        <w:t xml:space="preserve"> </w:t>
      </w:r>
      <w:r w:rsidR="003F796A" w:rsidRPr="003F796A">
        <w:t>κατά την έναρξη λειτουργίας του</w:t>
      </w:r>
      <w:r w:rsidR="00B24019">
        <w:t>ς</w:t>
      </w:r>
      <w:r w:rsidR="003F796A" w:rsidRPr="003F796A">
        <w:t xml:space="preserve">, συμπεριλαμβανομένου του συνόλου των </w:t>
      </w:r>
      <w:proofErr w:type="spellStart"/>
      <w:r w:rsidR="003F796A" w:rsidRPr="003F796A">
        <w:t>ιδιοκαταναλώσεων</w:t>
      </w:r>
      <w:proofErr w:type="spellEnd"/>
      <w:r w:rsidR="003F796A" w:rsidRPr="003F796A">
        <w:t xml:space="preserve"> και εσωτερικών απωλειών τους. Η ελάχιστη απαίτηση για τον βαθμό απόδοσης πλήρους κύκλου κατά τα επόμενα έτη της Περιόδου Ενίσχυσης προκύπτει από την τιμή του προηγούμενου εδαφίου, με </w:t>
      </w:r>
      <w:proofErr w:type="spellStart"/>
      <w:r w:rsidR="003F796A" w:rsidRPr="003F796A">
        <w:t>απομείωσή</w:t>
      </w:r>
      <w:proofErr w:type="spellEnd"/>
      <w:r w:rsidR="003F796A" w:rsidRPr="003F796A">
        <w:t xml:space="preserve"> της κατά 0,5% ανά έτος λειτουργίας. Ειδικά για Σ.Α.Η.Ε. τεχνολογίας </w:t>
      </w:r>
      <w:proofErr w:type="spellStart"/>
      <w:r w:rsidR="003F796A" w:rsidRPr="003F796A">
        <w:t>αντλησιοταμίευσης</w:t>
      </w:r>
      <w:proofErr w:type="spellEnd"/>
      <w:r w:rsidR="003F796A" w:rsidRPr="003F796A">
        <w:t xml:space="preserve">, ο ελάχιστος αποδεκτός βαθμός απόδοσης πλήρους κύκλου ορίζεται σε 72%, χωρίς εφαρμογή της ετήσιας </w:t>
      </w:r>
      <w:proofErr w:type="spellStart"/>
      <w:r w:rsidR="003F796A" w:rsidRPr="003F796A">
        <w:t>απομείωσης</w:t>
      </w:r>
      <w:proofErr w:type="spellEnd"/>
      <w:r w:rsidR="003F796A" w:rsidRPr="003F796A">
        <w:t xml:space="preserve"> του προηγούμενου εδαφίου.</w:t>
      </w:r>
    </w:p>
    <w:p w14:paraId="5A894618" w14:textId="77777777" w:rsidR="003C7F92" w:rsidRPr="003F0DAE" w:rsidRDefault="003F796A" w:rsidP="00E67595">
      <w:pPr>
        <w:pStyle w:val="a4"/>
        <w:numPr>
          <w:ilvl w:val="0"/>
          <w:numId w:val="7"/>
        </w:numPr>
        <w:rPr>
          <w:b/>
          <w:bCs/>
        </w:rPr>
      </w:pPr>
      <w:r w:rsidRPr="003F796A">
        <w:t>Όταν οι Ενισχυόμενοι Σ.Α.Η.Ε. βρίσκονται σε κατάσταση αναμονής ("</w:t>
      </w:r>
      <w:proofErr w:type="spellStart"/>
      <w:r w:rsidRPr="003F796A">
        <w:t>active</w:t>
      </w:r>
      <w:proofErr w:type="spellEnd"/>
      <w:r w:rsidRPr="003F796A">
        <w:t xml:space="preserve"> and </w:t>
      </w:r>
      <w:proofErr w:type="spellStart"/>
      <w:r w:rsidRPr="003F796A">
        <w:t>stand-by</w:t>
      </w:r>
      <w:proofErr w:type="spellEnd"/>
      <w:r w:rsidRPr="003F796A">
        <w:t>”,</w:t>
      </w:r>
      <w:r w:rsidRPr="003F796A" w:rsidDel="000E000D">
        <w:t xml:space="preserve"> </w:t>
      </w:r>
      <w:r w:rsidRPr="003F796A">
        <w:t xml:space="preserve">ήτοι ενεργοί και συνδεδεμένοι με το Ε.Σ.Μ.Η.Ε., με το σύστημα αποθήκευσης σε πλήρη ετοιμότητα να ανταλλάξει ενέργεια και με ενεργό το σύστημα μετατροπής ισχύος, αλλά χωρίς να ανταλλάσσεται ενέργεια, εκτός ενδεχομένως για την κάλυψη απωλειών), η συνολική κατανάλωση ενέργειας για οποιονδήποτε σκοπό (βοηθητικές καταναλώσεις, απώλειες και </w:t>
      </w:r>
      <w:proofErr w:type="spellStart"/>
      <w:r w:rsidRPr="003F796A">
        <w:t>αυτοεκφόρτιση</w:t>
      </w:r>
      <w:proofErr w:type="spellEnd"/>
      <w:r w:rsidRPr="003F796A">
        <w:t xml:space="preserve"> των συστημάτων αποθήκευσης) και ανεξαρτήτως του τρόπου εξυπηρέτησής της (απορρόφηση από το δίκτυο ή </w:t>
      </w:r>
      <w:proofErr w:type="spellStart"/>
      <w:r w:rsidRPr="003F796A">
        <w:t>εκφόρτιση</w:t>
      </w:r>
      <w:proofErr w:type="spellEnd"/>
      <w:r w:rsidRPr="003F796A">
        <w:t xml:space="preserve"> των συστημάτων αποθήκευσης) δεν υπερβαίνει σε ημερήσια βάση το 15% της εγγυημένης χωρητικότητάς τους.</w:t>
      </w:r>
    </w:p>
    <w:p w14:paraId="53891A53" w14:textId="77777777" w:rsidR="003C7F92" w:rsidRPr="003F0DAE" w:rsidRDefault="003C7F92" w:rsidP="00E67595">
      <w:pPr>
        <w:pStyle w:val="a4"/>
        <w:numPr>
          <w:ilvl w:val="0"/>
          <w:numId w:val="7"/>
        </w:numPr>
        <w:rPr>
          <w:b/>
          <w:bCs/>
        </w:rPr>
      </w:pPr>
      <w:r w:rsidRPr="004E7B57">
        <w:t>Οι Ενισχυόμεν</w:t>
      </w:r>
      <w:r>
        <w:t>οι</w:t>
      </w:r>
      <w:r w:rsidRPr="004E7B57">
        <w:t xml:space="preserve"> Σ.Α.Η.Ε. </w:t>
      </w:r>
      <w:r>
        <w:t>ν</w:t>
      </w:r>
      <w:r w:rsidR="003F796A" w:rsidRPr="003F796A">
        <w:t xml:space="preserve">α έχουν </w:t>
      </w:r>
      <w:r>
        <w:t>δυνατότητα</w:t>
      </w:r>
      <w:r w:rsidR="003F796A" w:rsidRPr="003F796A">
        <w:t xml:space="preserve"> συμμετοχής στις διαδικασίες εφεδρείας διατήρησης συχνότητας (εξαιρουμένων των Σ.Α.Η.Ε. τεχνολογίας </w:t>
      </w:r>
      <w:proofErr w:type="spellStart"/>
      <w:r w:rsidR="003F796A" w:rsidRPr="003F796A">
        <w:t>αντλησιοταμίευσης</w:t>
      </w:r>
      <w:proofErr w:type="spellEnd"/>
      <w:r w:rsidR="003F796A" w:rsidRPr="003F796A">
        <w:t xml:space="preserve">), χειροκίνητης και αυτόματης εφεδρείας αποκατάστασης συχνότητας (ΕΔΣ, </w:t>
      </w:r>
      <w:proofErr w:type="spellStart"/>
      <w:r w:rsidR="003F796A" w:rsidRPr="003F796A">
        <w:t>χΕΑΣ</w:t>
      </w:r>
      <w:proofErr w:type="spellEnd"/>
      <w:r w:rsidR="003F796A" w:rsidRPr="003F796A">
        <w:t xml:space="preserve"> και </w:t>
      </w:r>
      <w:proofErr w:type="spellStart"/>
      <w:r w:rsidR="003F796A" w:rsidRPr="003F796A">
        <w:t>αΕΑΣ</w:t>
      </w:r>
      <w:proofErr w:type="spellEnd"/>
      <w:r w:rsidR="003F796A" w:rsidRPr="003F796A">
        <w:t>) του Ε.Σ.Μ.Η.Ε. ή του συστήματος άλλης χώρας του Ε.Ο.Χ. στην οποία είναι εγκατεστημένοι και λειτουργούν, σύμφωνα με το άρθρο 16 της Υπουργικής Απόφασης. Η ικανότητα συμμετοχής πιστοποιείται από τις δοκιμές προεπιλογής που εκτελεί ο Διαχειριστής του Ε.Σ.Μ.Η.Ε. σύμφωνα με τον Κανονισμό Αγοράς Εξισορρόπησης.</w:t>
      </w:r>
    </w:p>
    <w:p w14:paraId="21DE92B5" w14:textId="440CC282" w:rsidR="003C7F92" w:rsidRDefault="003C7F92" w:rsidP="00E67595">
      <w:pPr>
        <w:pStyle w:val="a4"/>
        <w:numPr>
          <w:ilvl w:val="0"/>
          <w:numId w:val="7"/>
        </w:numPr>
      </w:pPr>
      <w:r w:rsidRPr="004E7B57">
        <w:t>Οι Ενισχυόμεν</w:t>
      </w:r>
      <w:r>
        <w:t>οι</w:t>
      </w:r>
      <w:r w:rsidRPr="004E7B57">
        <w:t xml:space="preserve"> Σ.Α.Η.Ε. </w:t>
      </w:r>
      <w:r>
        <w:t>ν</w:t>
      </w:r>
      <w:r w:rsidR="003F796A" w:rsidRPr="003F796A">
        <w:t xml:space="preserve">α επιτυγχάνουν Διαθεσιμότητα Ισχύος τουλάχιστον ίση με 93%, η </w:t>
      </w:r>
      <w:r w:rsidR="003F796A" w:rsidRPr="003F796A">
        <w:lastRenderedPageBreak/>
        <w:t>οποία υπολογίζεται ως μέση τιμή ανά διετία, για διαδοχικές διετίες, με εφαρμογή του προτύπου IEEE 762,</w:t>
      </w:r>
      <w:r w:rsidR="00B24019">
        <w:t xml:space="preserve"> </w:t>
      </w:r>
      <w:r w:rsidR="003F796A" w:rsidRPr="003F796A">
        <w:t>προσαρμοσμένου για εφαρμογή σε Σ.Α.Η.Ε., συμπεριλαμβάνοντας προγραμματισμένες και μη διακοπές και μειώσεις ισχύος.</w:t>
      </w:r>
    </w:p>
    <w:p w14:paraId="5350AC25" w14:textId="77777777" w:rsidR="003C7F92" w:rsidRDefault="003F796A" w:rsidP="00E67595">
      <w:pPr>
        <w:pStyle w:val="a4"/>
        <w:numPr>
          <w:ilvl w:val="0"/>
          <w:numId w:val="7"/>
        </w:numPr>
      </w:pPr>
      <w:r w:rsidRPr="003F796A">
        <w:t xml:space="preserve">Οι Ενισχυόμενοι Σ.Α.Η.Ε. τεχνολογίας συσσωρευτών να είναι συμβατοί με τα πρότυπα EN IEC 62933-5-2, NFPA 855, EN IEC 61936-1 ή με ισοδύναμα διεθνή ή εθνικά πρότυπα και κανονισμούς. Ανάλογες απαιτήσεις εφαρμόζονται και για τις λοιπές τεχνολογίες αποθήκευσης, </w:t>
      </w:r>
      <w:proofErr w:type="spellStart"/>
      <w:r w:rsidRPr="003F796A">
        <w:t>εξειδικευόμενες</w:t>
      </w:r>
      <w:proofErr w:type="spellEnd"/>
      <w:r w:rsidRPr="003F796A">
        <w:t xml:space="preserve"> κατά περίπτωση ως προς τα ειδικά χαρακτηριστικά τους.</w:t>
      </w:r>
      <w:r w:rsidRPr="003F796A" w:rsidDel="00165D2F">
        <w:t xml:space="preserve"> </w:t>
      </w:r>
    </w:p>
    <w:p w14:paraId="0FDBE151" w14:textId="77777777" w:rsidR="003C7F92" w:rsidRPr="003F0DAE" w:rsidRDefault="003C7F92" w:rsidP="00E67595">
      <w:pPr>
        <w:pStyle w:val="a4"/>
        <w:numPr>
          <w:ilvl w:val="0"/>
          <w:numId w:val="7"/>
        </w:numPr>
        <w:rPr>
          <w:b/>
          <w:bCs/>
        </w:rPr>
      </w:pPr>
      <w:r w:rsidRPr="004E7B57">
        <w:t>Οι Ενισχυόμεν</w:t>
      </w:r>
      <w:r>
        <w:t>οι</w:t>
      </w:r>
      <w:r w:rsidRPr="004E7B57">
        <w:t xml:space="preserve"> Σ.Α.Η.Ε. </w:t>
      </w:r>
      <w:r>
        <w:t>ν</w:t>
      </w:r>
      <w:r w:rsidR="003F796A" w:rsidRPr="003F796A">
        <w:t>α είναι ασφαλισμένοι από έγκριτο ασφαλιστικό φορέα, τουλάχιστον έναντι πυρκαγιάς, εκρήξεων και διάχυσης τοξικών υλικών καθ’ όλη τη διάρκεια της κατασκευής και της μετέπειτα λειτουργίας τους.</w:t>
      </w:r>
    </w:p>
    <w:p w14:paraId="1D3B1F42" w14:textId="77777777" w:rsidR="003C7F92" w:rsidRDefault="003C7F92" w:rsidP="00E67595">
      <w:pPr>
        <w:pStyle w:val="a4"/>
        <w:numPr>
          <w:ilvl w:val="0"/>
          <w:numId w:val="7"/>
        </w:numPr>
      </w:pPr>
      <w:r w:rsidRPr="004E7B57">
        <w:t>Οι Ενισχυόμεν</w:t>
      </w:r>
      <w:r>
        <w:t>οι</w:t>
      </w:r>
      <w:r w:rsidRPr="004E7B57">
        <w:t xml:space="preserve"> Σ.Α.Η.Ε. </w:t>
      </w:r>
      <w:r>
        <w:t>ν</w:t>
      </w:r>
      <w:r w:rsidR="003F796A" w:rsidRPr="003F796A">
        <w:t>α διαθέτουν την τεχνική δυνατότητα να συμμετέχουν ως διακριτές οντότητες υπηρεσιών εξισορρόπησης στις Αγορές ηλεκτρικής ενέργειας, με πλήρη ενσωμάτωσή τους στο σύστημα αυτόματης ρύθμισης παραγωγής του Ε.Σ.Μ.Η.Ε. ή του συστήματος άλλης χώρας του Ε.Ο.Χ. στην οποία είναι εγκατεστημένοι και λειτουργούν σύμφωνα με το άρθρο 16 της Υπουργικής Απόφασης.</w:t>
      </w:r>
    </w:p>
    <w:p w14:paraId="75296F81" w14:textId="77777777" w:rsidR="006975A2" w:rsidRPr="003F0DAE" w:rsidRDefault="003C7F92" w:rsidP="00E67595">
      <w:pPr>
        <w:pStyle w:val="a4"/>
        <w:numPr>
          <w:ilvl w:val="0"/>
          <w:numId w:val="7"/>
        </w:numPr>
        <w:rPr>
          <w:b/>
          <w:bCs/>
        </w:rPr>
      </w:pPr>
      <w:r w:rsidRPr="004E7B57">
        <w:t xml:space="preserve">Οι </w:t>
      </w:r>
      <w:r>
        <w:t xml:space="preserve">κάτοχοι των </w:t>
      </w:r>
      <w:r w:rsidRPr="004E7B57">
        <w:t>Ενισχυόμεν</w:t>
      </w:r>
      <w:r>
        <w:t>ων</w:t>
      </w:r>
      <w:r w:rsidRPr="004E7B57">
        <w:t xml:space="preserve"> Σ.Α.Η.Ε. </w:t>
      </w:r>
      <w:r>
        <w:t>ν</w:t>
      </w:r>
      <w:r w:rsidR="003F796A" w:rsidRPr="003F796A">
        <w:t>α μην χρησιμοποιούν μεταχειρισμένο ή ανακατασκευασμένο (</w:t>
      </w:r>
      <w:proofErr w:type="spellStart"/>
      <w:r w:rsidR="003F796A" w:rsidRPr="003F796A">
        <w:t>second-life</w:t>
      </w:r>
      <w:proofErr w:type="spellEnd"/>
      <w:r w:rsidR="003F796A" w:rsidRPr="003F796A">
        <w:t>) εξοπλισμό.</w:t>
      </w:r>
    </w:p>
    <w:p w14:paraId="23FF476A" w14:textId="5C1D4BA8" w:rsidR="00DD2746" w:rsidRPr="003F0DAE" w:rsidRDefault="003F796A" w:rsidP="00E67595">
      <w:pPr>
        <w:pStyle w:val="a4"/>
        <w:numPr>
          <w:ilvl w:val="0"/>
          <w:numId w:val="7"/>
        </w:numPr>
      </w:pPr>
      <w:r w:rsidRPr="003F796A">
        <w:t xml:space="preserve">Ο εξοπλισμός των Ενισχυόμενων Σ.Α.Η.Ε. </w:t>
      </w:r>
      <w:r w:rsidR="006975A2">
        <w:t>πρέπει</w:t>
      </w:r>
      <w:r w:rsidRPr="003F796A">
        <w:t xml:space="preserve">, μετά το πέρας της διάρκειας ζωής του, να </w:t>
      </w:r>
      <w:proofErr w:type="spellStart"/>
      <w:r w:rsidRPr="003F796A">
        <w:t>αποξηλωθεί</w:t>
      </w:r>
      <w:proofErr w:type="spellEnd"/>
      <w:r w:rsidRPr="003F796A">
        <w:t xml:space="preserve"> και να ανακυκλωθεί, με μέριμνα των </w:t>
      </w:r>
      <w:r w:rsidR="00B24019">
        <w:t>κ</w:t>
      </w:r>
      <w:r w:rsidRPr="003F796A">
        <w:t xml:space="preserve">ατόχων αυτών και με εφαρμογή των βέλτιστων διαθέσιμων πρακτικών, σύμφωνα με την ισχύουσα </w:t>
      </w:r>
      <w:r w:rsidRPr="00DD2746">
        <w:t>νομοθεσία.</w:t>
      </w:r>
    </w:p>
    <w:p w14:paraId="0A14560E" w14:textId="4FA4CF6F" w:rsidR="00DD2746" w:rsidRDefault="003F796A" w:rsidP="00E67595">
      <w:pPr>
        <w:pStyle w:val="a4"/>
        <w:numPr>
          <w:ilvl w:val="0"/>
          <w:numId w:val="7"/>
        </w:numPr>
      </w:pPr>
      <w:r w:rsidRPr="003F0DAE">
        <w:t>Οι τεχν</w:t>
      </w:r>
      <w:r w:rsidR="006975A2" w:rsidRPr="003F0DAE">
        <w:t xml:space="preserve">ικές </w:t>
      </w:r>
      <w:r w:rsidR="00E30FE4">
        <w:t xml:space="preserve">προδιαγραφές και </w:t>
      </w:r>
      <w:r w:rsidR="006975A2" w:rsidRPr="003F0DAE">
        <w:t>απαιτήσεις</w:t>
      </w:r>
      <w:r w:rsidRPr="003F0DAE">
        <w:t xml:space="preserve"> του παρόντος άρθρου εξειδικεύονται στο </w:t>
      </w:r>
      <w:r w:rsidRPr="00D3106F">
        <w:t>Παράρτημα Η</w:t>
      </w:r>
      <w:r w:rsidR="006975A2" w:rsidRPr="00D3106F">
        <w:t xml:space="preserve"> και</w:t>
      </w:r>
      <w:r w:rsidR="006975A2" w:rsidRPr="00DD2746">
        <w:t xml:space="preserve"> </w:t>
      </w:r>
      <w:r w:rsidRPr="00DD2746">
        <w:t xml:space="preserve">ελέγχονται στο σημείο σύνδεσης του Σ.Α.Η.Ε. με το Ε.Σ.Μ.Η.Ε. ή με το σύστημα μεταφοράς άλλης </w:t>
      </w:r>
      <w:r w:rsidRPr="003F796A">
        <w:t xml:space="preserve">χώρας του Ε.Ο.Χ. στην οποία είναι εγκατεστημένος και λειτουργεί σύμφωνα με το άρθρο 16 της Υπουργικής Απόφασης, στην πλευρά Υψηλής Τάσης των υποδομών διασύνδεσης, μέσω μετρήσεων που λαμβάνονται ή ανάγονται καταλλήλως στο σημείο αυτό, τόσο κατά τη δοκιμαστική λειτουργία των Ενισχυόμενων Σ.Α.Η.Ε., όσο και περιοδικά καθ’ όλη τη διάρκεια της Περιόδου Ενίσχυσης, σύμφωνα με τις ειδικότερες διατάξεις του άρθρου 10 της Υπουργικής Απόφασης και του </w:t>
      </w:r>
      <w:r w:rsidRPr="00DD2746">
        <w:t>Παραρτήματος Η.1</w:t>
      </w:r>
      <w:r w:rsidRPr="00F2083B">
        <w:rPr>
          <w:vertAlign w:val="superscript"/>
        </w:rPr>
        <w:footnoteReference w:id="2"/>
      </w:r>
      <w:r w:rsidRPr="00DD2746">
        <w:t>.</w:t>
      </w:r>
      <w:r w:rsidRPr="003F796A">
        <w:t xml:space="preserve"> Για τις συνθήκες και τον τρόπο μέτρησης των μεγεθών που αναφέρονται στις παρ. 8.1.1(α), </w:t>
      </w:r>
      <w:r w:rsidR="00C6013F">
        <w:t>1</w:t>
      </w:r>
      <w:r w:rsidR="003D268D">
        <w:t xml:space="preserve">5.2 </w:t>
      </w:r>
      <w:r w:rsidR="00C6013F">
        <w:t>(δ)</w:t>
      </w:r>
      <w:r w:rsidRPr="003F796A">
        <w:t xml:space="preserve"> και </w:t>
      </w:r>
      <w:r w:rsidR="00C6013F">
        <w:t>1</w:t>
      </w:r>
      <w:r w:rsidR="003D268D">
        <w:t>5.2.</w:t>
      </w:r>
      <w:r w:rsidR="00C6013F">
        <w:t xml:space="preserve"> (ε)</w:t>
      </w:r>
      <w:r w:rsidRPr="003F796A">
        <w:t>, εφαρμόζονται τα πρότυπα EN IEC 62933-1 και EN IEC 62933-2-1.</w:t>
      </w:r>
    </w:p>
    <w:p w14:paraId="02DE87C4" w14:textId="3A583919" w:rsidR="003F796A" w:rsidRPr="004E7B57" w:rsidRDefault="00DD2746" w:rsidP="00E67595">
      <w:pPr>
        <w:pStyle w:val="a4"/>
        <w:numPr>
          <w:ilvl w:val="0"/>
          <w:numId w:val="7"/>
        </w:numPr>
      </w:pPr>
      <w:bookmarkStart w:id="17" w:name="_Hlk137731602"/>
      <w:r w:rsidRPr="004E7B57">
        <w:t>Οι Ενισχυόμεν</w:t>
      </w:r>
      <w:r>
        <w:t>οι</w:t>
      </w:r>
      <w:r w:rsidRPr="004E7B57">
        <w:t xml:space="preserve"> Σ.Α.Η.Ε. </w:t>
      </w:r>
      <w:r>
        <w:t>ν</w:t>
      </w:r>
      <w:r w:rsidR="0035266B" w:rsidRPr="003F796A">
        <w:t xml:space="preserve">α πληρούν το σύνολο των τεχνικών απαιτήσεων για σύνδεση σταθμών αποθήκευσης με το Ε.Σ.Μ.Η.Ε. ή με το σύστημα άλλης χώρας του Ε.Ο.Χ., κατά τα οριζόμενα στο άρθρο 16 της Υπουργικής Απόφασης, σύμφωνα με τις σχετικές αποφάσεις της Ρ.Α.Α.Ε.Υ. </w:t>
      </w:r>
      <w:r w:rsidR="0035266B" w:rsidRPr="003F0DAE">
        <w:t>για τη θέσπιση του Κώδικα Διαχείρισης Σύστηματος όσον αφορά τις απαιτήσεις για τη σύνδεση ηλεκτροπαραγωγών με το σύστημα, όπως εκάστοτε ισχύει</w:t>
      </w:r>
      <w:r w:rsidR="0035266B" w:rsidRPr="003F796A">
        <w:t>, ή άλλου αντίστοιχου που περιλαμβάνει ανάλογες  απαιτήσεις για τη σύνδεση Σ.Α.Η.Ε.</w:t>
      </w:r>
      <w:r>
        <w:t xml:space="preserve"> και το </w:t>
      </w:r>
      <w:r w:rsidRPr="00AE5EB7">
        <w:t>Παράρτημα Η</w:t>
      </w:r>
      <w:r w:rsidR="00D3106F" w:rsidRPr="00AE5EB7">
        <w:t>.</w:t>
      </w:r>
      <w:r w:rsidRPr="00AE5EB7">
        <w:t>2</w:t>
      </w:r>
      <w:r w:rsidR="0035266B" w:rsidRPr="00AE5EB7">
        <w:t>.</w:t>
      </w:r>
    </w:p>
    <w:bookmarkEnd w:id="17"/>
    <w:p w14:paraId="33D86759" w14:textId="77777777" w:rsidR="001E0300" w:rsidRDefault="00DF2E4E" w:rsidP="00E67595">
      <w:pPr>
        <w:pStyle w:val="a4"/>
        <w:numPr>
          <w:ilvl w:val="0"/>
          <w:numId w:val="7"/>
        </w:numPr>
      </w:pPr>
      <w:r w:rsidRPr="004E7B57">
        <w:t xml:space="preserve">Οι Κάτοχοι των Ενισχυόμενων Σ.Α.Η.Ε. συμβάλλονται με φορείς που διαθέτουν την απαραίτητη επαγγελματική και τεχνική επάρκεια και τις κατά περίπτωση απαιτούμενες διαπιστεύσεις, οι οποίοι πρέπει να είναι εγγεγραμμένοι στο Μητρώο Φορέων Ελέγχου, Επιθεώρησης και Επαλήθευσης Σ.Α.Η.Ε., εφόσον </w:t>
      </w:r>
      <w:r w:rsidR="0001073B" w:rsidRPr="004E7B57">
        <w:t xml:space="preserve">αυτό </w:t>
      </w:r>
      <w:r w:rsidRPr="004E7B57">
        <w:t>έχει καταρτιστεί</w:t>
      </w:r>
      <w:r w:rsidR="0001073B" w:rsidRPr="004E7B57">
        <w:t>,</w:t>
      </w:r>
      <w:r w:rsidRPr="004E7B57">
        <w:t xml:space="preserve"> και διενεργούν τις προβλεπόμενες κατά περίπτωση δοκιμές και ελέγχους, πιστοποιούν τα αποτελέσματά τους και υποβάλλουν στη </w:t>
      </w:r>
      <w:r w:rsidRPr="004E7B57">
        <w:lastRenderedPageBreak/>
        <w:t>Ρ.Α.Α.Ε.Υ., στον Διαχειριστή του Ε.Σ.Μ.Η.Ε. και στον Διαχειριστή Α.Π.Ε. και Εγγυήσεων Προέλευσης τις σχετικές τεχνικές εκθέσεις και πιστοποιήσεις</w:t>
      </w:r>
      <w:r w:rsidR="00EF5431" w:rsidRPr="004E7B57">
        <w:t>.</w:t>
      </w:r>
    </w:p>
    <w:p w14:paraId="78F05DD8" w14:textId="1D04DD63" w:rsidR="00DF2E4E" w:rsidRPr="004E7B57" w:rsidRDefault="00DF2E4E" w:rsidP="00E67595">
      <w:pPr>
        <w:pStyle w:val="a4"/>
        <w:numPr>
          <w:ilvl w:val="0"/>
          <w:numId w:val="7"/>
        </w:numPr>
        <w:tabs>
          <w:tab w:val="clear" w:pos="1189"/>
          <w:tab w:val="left" w:pos="851"/>
        </w:tabs>
      </w:pPr>
      <w:r w:rsidRPr="004E7B57">
        <w:t xml:space="preserve">Κατά το στάδιο της δοκιμαστικής λειτουργίας των έργων, οι κάτοχοι των Ενισχυόμενων Σ.Α.Η.Ε. οφείλουν να διεξαγάγουν δοκιμές και ελέγχους που πιστοποιούν την τήρηση των τεχνικών </w:t>
      </w:r>
      <w:r w:rsidRPr="00D3106F">
        <w:t>απαιτήσεων του Παραρτήματος Η</w:t>
      </w:r>
      <w:r w:rsidR="00D3106F" w:rsidRPr="00D3106F">
        <w:t>.</w:t>
      </w:r>
      <w:r w:rsidR="00EF5431" w:rsidRPr="00D3106F">
        <w:t>2</w:t>
      </w:r>
      <w:r w:rsidRPr="00D3106F">
        <w:t xml:space="preserve"> αναφορικά με τη σύνδεση σταθμών αποθήκευσης με το Ε.Σ.Μ.Η.Ε. και </w:t>
      </w:r>
      <w:r w:rsidR="00EF5431" w:rsidRPr="00D3106F">
        <w:t xml:space="preserve">με την ικανότητα παροχής εφεδρειών ταχείας απόκρισης του Σ.Α.Η.Ε. (εξαιρουμένων </w:t>
      </w:r>
      <w:r w:rsidR="0001073B" w:rsidRPr="00D3106F">
        <w:t xml:space="preserve">των </w:t>
      </w:r>
      <w:r w:rsidR="00EF5431" w:rsidRPr="00D3106F">
        <w:t xml:space="preserve">Σ.Α.Η.Ε. τεχνολογίας </w:t>
      </w:r>
      <w:proofErr w:type="spellStart"/>
      <w:r w:rsidR="00EF5431" w:rsidRPr="00D3106F">
        <w:t>αντλησιοταμίευσης</w:t>
      </w:r>
      <w:proofErr w:type="spellEnd"/>
      <w:r w:rsidR="00EF5431" w:rsidRPr="00D3106F">
        <w:t xml:space="preserve">) </w:t>
      </w:r>
      <w:r w:rsidR="0001073B" w:rsidRPr="00D3106F">
        <w:t xml:space="preserve">και </w:t>
      </w:r>
      <w:r w:rsidRPr="00D3106F">
        <w:t>να υποβάλουν στον Διαχειριστή του Ε.Σ.Μ.Η.Ε. σχετικές αναφορές. Οι κάτοχοι των Ενισχυόμενων Σ.Α.Η.Ε. ενημερώνουν εγκαίρως τον Διαχειριστή του Ε.Σ.Μ.Η.Ε. για τη διεξαγωγή των σχετικών δοκιμών, προκειμένου αυτός να</w:t>
      </w:r>
      <w:r w:rsidRPr="004E7B57">
        <w:t xml:space="preserve"> παρακολουθεί, εφόσον το κρίνει απαραίτητο, τις σχετικές δοκιμές, είτε επί τόπου, είτε εξ αποστάσεως, από το Κέντρο Ελέγχου Ενέργειας.</w:t>
      </w:r>
    </w:p>
    <w:p w14:paraId="286AE1D0" w14:textId="05CA1854" w:rsidR="00DF2E4E" w:rsidRDefault="00DF2E4E" w:rsidP="00E67595">
      <w:pPr>
        <w:pStyle w:val="a4"/>
        <w:numPr>
          <w:ilvl w:val="0"/>
          <w:numId w:val="7"/>
        </w:numPr>
      </w:pPr>
      <w:r w:rsidRPr="004E7B57">
        <w:t xml:space="preserve">Οι Κάτοχοι των Ενισχυόμενων Σ.Α.Η.Ε. οφείλουν να διενεργούν δοκιμές και ελέγχους για την τήρηση των απαιτήσεων μέγιστης ισχύος έγχυσης, ελάχιστης χωρητικότητας, ελάχιστου βαθμού απόδοσης, ελάχιστης κατανάλωσης σε λειτουργία αναμονής, διαθεσιμότητας ισχύος και ασφάλειας εγκαταστάσεων των Ενισχυόμενων Σ.Α.Η.Ε. και να προσκομίζουν στη Ρ.Α.Α.Ε.Υ., στον Διαχειριστή του Ε.Σ.Μ.Η.Ε. και στον Διαχειριστή Α.Π.Ε. και Εγγυήσεων Προέλευσης σχετικές αναφορές και πιστοποιήσεις. Η τήρηση των ανωτέρω απαιτήσεων ελέγχεται κατά το στάδιο της δοκιμαστικής λειτουργίας και ανά διετία καθ’ όλη τη διάρκεια της Περιόδου Ενίσχυσης και οι σχετικοί έλεγχοι, δοκιμές, μελέτες και εκθέσεις διενεργούνται/συντάσσονται από φορείς της </w:t>
      </w:r>
      <w:r w:rsidRPr="00D3106F">
        <w:t xml:space="preserve">παρ. </w:t>
      </w:r>
      <w:r w:rsidR="00EF5431" w:rsidRPr="00D3106F">
        <w:t>1</w:t>
      </w:r>
      <w:r w:rsidR="001E0300" w:rsidRPr="00D3106F">
        <w:t>5</w:t>
      </w:r>
      <w:r w:rsidR="00EF5431" w:rsidRPr="00D3106F">
        <w:t>.2(</w:t>
      </w:r>
      <w:proofErr w:type="spellStart"/>
      <w:r w:rsidR="001E0300" w:rsidRPr="00D3106F">
        <w:t>ιε</w:t>
      </w:r>
      <w:proofErr w:type="spellEnd"/>
      <w:r w:rsidR="00EF5431" w:rsidRPr="00D3106F">
        <w:t>)</w:t>
      </w:r>
      <w:r w:rsidRPr="00D3106F">
        <w:t>. Οι κάτοχοι</w:t>
      </w:r>
      <w:r w:rsidRPr="004E7B57">
        <w:t xml:space="preserve"> των Ενισχυόμενων Σ.Α.Η.Ε. ενημερώνουν εγκαίρως τον Διαχειριστή του Ε.Σ.Μ.Η.Ε. και άλλους κατά περίπτωση αρμόδιους φορείς για τη διεξαγωγή δοκιμών πεδίου, προκειμένου αυτοί να παρίστανται, μέσω εκπροσώπων τους, εφόσον οι εν λόγω φορείς το κρίνουν απαραίτητο ή είναι επιβεβλημένο.</w:t>
      </w:r>
    </w:p>
    <w:p w14:paraId="1B4DBB07" w14:textId="6193A0A4" w:rsidR="00427631" w:rsidRPr="00427631" w:rsidRDefault="00427631" w:rsidP="00427631">
      <w:pPr>
        <w:pStyle w:val="a4"/>
        <w:numPr>
          <w:ilvl w:val="0"/>
          <w:numId w:val="7"/>
        </w:numPr>
      </w:pPr>
      <w:r w:rsidRPr="00427631">
        <w:t xml:space="preserve">Οι Κάτοχοι των Ενισχυόμενων Σ.Α.Η.Ε. </w:t>
      </w:r>
      <w:r w:rsidRPr="00427631">
        <w:rPr>
          <w:lang w:val="en-US"/>
        </w:rPr>
        <w:t>o</w:t>
      </w:r>
      <w:proofErr w:type="spellStart"/>
      <w:r w:rsidRPr="00427631">
        <w:t>φείλουν</w:t>
      </w:r>
      <w:proofErr w:type="spellEnd"/>
      <w:r w:rsidRPr="00427631">
        <w:t xml:space="preserve"> να συμμορφώνονται με την αρχή της «Μη πρόκλησης σημαντικής βλάβης» κατά την έννοια του άρθρου 17 του Κανονισμού (ΕΕ) 2020/852 του Ευρωπαϊκού Κοινοβουλίου και του Συμβουλίου και συμμορφώνονται με την τεχνική καθοδήγηση σχετικά με την εφαρμογή της αρχής της «μη πρόκλησης σημαντικής βλάβης» (2021/C 58/01) του παραρτήματος ΙΧ του ανωτέρω Κανονισμού.</w:t>
      </w:r>
    </w:p>
    <w:p w14:paraId="100CB684" w14:textId="77777777" w:rsidR="00427631" w:rsidRPr="00427631" w:rsidRDefault="00427631" w:rsidP="00427631">
      <w:pPr>
        <w:pStyle w:val="a4"/>
        <w:numPr>
          <w:ilvl w:val="0"/>
          <w:numId w:val="7"/>
        </w:numPr>
      </w:pPr>
      <w:r w:rsidRPr="00427631">
        <w:t xml:space="preserve">Οι Κάτοχοι των Ενισχυόμενων Σ.Α.Η.Ε. υποχρεούνται να μνημονεύσουν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 </w:t>
      </w:r>
      <w:proofErr w:type="spellStart"/>
      <w:r w:rsidRPr="00427631">
        <w:t>NextGeneration</w:t>
      </w:r>
      <w:proofErr w:type="spellEnd"/>
      <w:r w:rsidRPr="00427631">
        <w:t xml:space="preserve"> EU». </w:t>
      </w:r>
    </w:p>
    <w:p w14:paraId="52C2978E" w14:textId="15F5CB63" w:rsidR="00427631" w:rsidRDefault="00427631" w:rsidP="00427631">
      <w:pPr>
        <w:pStyle w:val="a4"/>
        <w:ind w:left="720"/>
      </w:pPr>
      <w:r w:rsidRPr="00427631">
        <w:t>Η προβολή και ενημέρωση αναφορικά με τη χρηματοδοτική στήριξη μπορεί να πραγματοποιείται: α) μέσω του διαδικτυακού τόπου (εφόσον υπάρχει) του κατόχου του Ενισχυόμενου Σ.Α.Η.Ε, με την τοποθέτηση σε θέση ορατή κατά την είσοδο σε αυτόν, του ως άνω εμβλήματος με την αντίστοιχη ένδειξη, β) με τοποθέτηση σε εμφανές σημείο του Σ.Α.Η.Ε αυτοκόλλητου (σε ελάχιστο μέγεθος Α4) αναφορικά με τη συνδρομή του Ταμείου Ανάκαμψης στην υλοποίηση του έργου.</w:t>
      </w:r>
      <w:r w:rsidR="0026590D">
        <w:rPr>
          <w:rStyle w:val="af0"/>
        </w:rPr>
        <w:footnoteReference w:id="3"/>
      </w:r>
      <w:r w:rsidRPr="00427631">
        <w:t xml:space="preserve"> </w:t>
      </w:r>
    </w:p>
    <w:p w14:paraId="1D0959B5" w14:textId="77777777" w:rsidR="001C14A4" w:rsidRPr="00427631" w:rsidRDefault="001C14A4" w:rsidP="00427631">
      <w:pPr>
        <w:pStyle w:val="a4"/>
        <w:ind w:left="720"/>
      </w:pPr>
    </w:p>
    <w:p w14:paraId="0915BADE" w14:textId="620D310D" w:rsidR="00A5045F" w:rsidRPr="004E7B57" w:rsidRDefault="001E0300" w:rsidP="001E0300">
      <w:r w:rsidRPr="001E0300">
        <w:rPr>
          <w:b/>
          <w:bCs/>
        </w:rPr>
        <w:t>15.3.</w:t>
      </w:r>
      <w:r>
        <w:t xml:space="preserve"> </w:t>
      </w:r>
      <w:r w:rsidR="00A5045F" w:rsidRPr="00D3106F">
        <w:rPr>
          <w:b/>
          <w:bCs/>
        </w:rPr>
        <w:t>Υποχρεώσεις κατά τη συμμετοχή στις Αγορές ηλεκτρικής ενέργειας:</w:t>
      </w:r>
    </w:p>
    <w:p w14:paraId="21AE8C60" w14:textId="07D782BF" w:rsidR="00A5045F" w:rsidRPr="004E7B57" w:rsidRDefault="00A5045F" w:rsidP="00E67595">
      <w:pPr>
        <w:pStyle w:val="a4"/>
        <w:numPr>
          <w:ilvl w:val="0"/>
          <w:numId w:val="9"/>
        </w:numPr>
      </w:pPr>
      <w:bookmarkStart w:id="18" w:name="_Hlk137729839"/>
      <w:r w:rsidRPr="004E7B57">
        <w:t xml:space="preserve">Οι Ενισχυόμενοι Σ.Α.Η.Ε. </w:t>
      </w:r>
      <w:r w:rsidRPr="00AE5EB7">
        <w:t>υπόκεινται σε λειτουργικούς περιορισμούς της παρ. 13 του άρθρου 10 του ν. 4951/2022 καθ’ όλη τη διάρκεια λειτουργίας τους, σύμφωνα</w:t>
      </w:r>
      <w:r w:rsidRPr="004E7B57">
        <w:t xml:space="preserve"> με το ισχύον νομοθετικό και ρυθμιστικό πλαίσιο.</w:t>
      </w:r>
    </w:p>
    <w:bookmarkEnd w:id="18"/>
    <w:p w14:paraId="404BFB6B" w14:textId="05D6056F" w:rsidR="00A5045F" w:rsidRPr="004E7B57" w:rsidRDefault="00A5045F" w:rsidP="00E67595">
      <w:pPr>
        <w:pStyle w:val="a4"/>
        <w:numPr>
          <w:ilvl w:val="0"/>
          <w:numId w:val="9"/>
        </w:numPr>
      </w:pPr>
      <w:r w:rsidRPr="004E7B57">
        <w:lastRenderedPageBreak/>
        <w:t xml:space="preserve">Οι Ενισχυόμενοι Σ.Α.Η.Ε. υποχρεούνται να συμμετέχουν στις Αγορές ηλεκτρικής ενέργειας, σύμφωνα με τα ειδικότερα οριζόμενα στους οικείους Κανονισμούς για Σ.Α.Η.Ε., υποβάλλοντας σε οποιαδήποτε από τις Αγορές ηλεκτρικής ενέργειας προσφορές ενέργειας που αντιστοιχούν τουλάχιστον σε μια πλήρη </w:t>
      </w:r>
      <w:proofErr w:type="spellStart"/>
      <w:r w:rsidRPr="004E7B57">
        <w:t>εκφόρτιση</w:t>
      </w:r>
      <w:proofErr w:type="spellEnd"/>
      <w:r w:rsidRPr="004E7B57">
        <w:t xml:space="preserve"> και σε μια πλήρη φόρτιση για κάθε ημέρα για την οποία είναι διαθέσιμοι. </w:t>
      </w:r>
    </w:p>
    <w:p w14:paraId="3DF908B8" w14:textId="4E0BCC19" w:rsidR="00A5045F" w:rsidRPr="004E7B57" w:rsidRDefault="00A5045F" w:rsidP="00E67595">
      <w:pPr>
        <w:pStyle w:val="a4"/>
        <w:numPr>
          <w:ilvl w:val="0"/>
          <w:numId w:val="9"/>
        </w:numPr>
      </w:pPr>
      <w:r w:rsidRPr="004E7B57">
        <w:t>Οι Ενισχυόμενοι Σ.Α.Η.Ε. δεν δύνανται να συνάπτουν διμερείς συμβάσεις αγοραπωλησίας ηλεκτρικής ενέργειας και δεν συμμετέχουν στην Ενεργειακή Χρηματοπιστωτική Αγορά καθ’ όλη την Περίοδο Ενίσχυσης.</w:t>
      </w:r>
    </w:p>
    <w:p w14:paraId="15D05450" w14:textId="4687D730" w:rsidR="00A5045F" w:rsidRPr="004E7B57" w:rsidRDefault="00A5045F" w:rsidP="00E67595">
      <w:pPr>
        <w:pStyle w:val="a4"/>
        <w:numPr>
          <w:ilvl w:val="0"/>
          <w:numId w:val="9"/>
        </w:numPr>
      </w:pPr>
      <w:r w:rsidRPr="004E7B57">
        <w:t xml:space="preserve">Οι Ενισχυόμενοι Σ.Α.Η.Ε. δύνανται να συμμετέχουν στις Αγορές ηλεκτρικής ενέργειας είτε ως διακριτές οντότητες υπηρεσιών εξισορρόπησης, είτε εντός χαρτοφυλακίων τα οποία περιλαμβάνουν μόνο Ενισχυόμενους Σ.Α.Η.Ε. της Α’ και της Β’ Ανταγωνιστικής Διαδικασίας και η συνολική μέγιστή ισχύς κάθε χαρτοφυλακίου είναι μικρότερη ή ίση των 50 </w:t>
      </w:r>
      <w:r w:rsidRPr="003F0DAE">
        <w:t>MW</w:t>
      </w:r>
      <w:r w:rsidRPr="004E7B57">
        <w:t>.</w:t>
      </w:r>
    </w:p>
    <w:p w14:paraId="743F2FE4" w14:textId="2D2E31A7" w:rsidR="00A5045F" w:rsidRPr="004E7B57" w:rsidRDefault="00A5045F" w:rsidP="00E67595">
      <w:pPr>
        <w:pStyle w:val="a4"/>
        <w:numPr>
          <w:ilvl w:val="0"/>
          <w:numId w:val="9"/>
        </w:numPr>
      </w:pPr>
      <w:r w:rsidRPr="004E7B57">
        <w:t xml:space="preserve">Οι Ενισχυόμενοι Σ.Α.Η.Ε. υποχρεούνται να παρέχουν κατά προτεραιότητα υπηρεσίες, όπως ενδεικτικά η αποσυμφόρηση των δικτύων με στόχο την αύξηση του περιθωρίου υποδοχής ισχύος Α.Π.Ε., οι οποίες καθορίζονται από το ισχύον νομοθετικό και κανονιστικό πλαίσιο. </w:t>
      </w:r>
    </w:p>
    <w:p w14:paraId="371D2BD3" w14:textId="22BECA08" w:rsidR="00A5045F" w:rsidRPr="004E7B57" w:rsidRDefault="00A5045F" w:rsidP="00E67595">
      <w:pPr>
        <w:pStyle w:val="a4"/>
        <w:numPr>
          <w:ilvl w:val="0"/>
          <w:numId w:val="9"/>
        </w:numPr>
      </w:pPr>
      <w:r w:rsidRPr="004E7B57">
        <w:t>Σε περίπτωση λήψης επενδυτικής, λειτουργικής ή άλλου είδους ενίσχυσης εκτός του παρόντος σχήματος ενίσχυσης, ακαθάριστων εσόδων και αμοιβών για παροχή πρόσθετων υπηρεσιών ή λοιπών εσόδων από δραστηριότητες αξιοποίησης παγίων του Ενισχυόμενου Σ.Α.Η.Ε., πέραν των Καθαρών Εσόδων Αγοράς, ο Επιλεγείς Συμμετέχων οφείλει να ενημερώσει τη Ρ.Α.Α.Ε.Υ. και τον Διαχειριστή Α.Π.Ε. και Εγγυήσεων Προέλευσης, παρέχοντας πλήρη στοιχεία για την πηγή και το ύψος των εσόδων αυτών.</w:t>
      </w:r>
    </w:p>
    <w:p w14:paraId="63D68C1A" w14:textId="6764C3FB" w:rsidR="00A5045F" w:rsidRDefault="00A5045F" w:rsidP="003F0DAE">
      <w:pPr>
        <w:ind w:left="360"/>
      </w:pPr>
    </w:p>
    <w:p w14:paraId="7645FA36" w14:textId="3FC5D995" w:rsidR="0079436E" w:rsidRDefault="00A5045F" w:rsidP="0079436E">
      <w:pPr>
        <w:rPr>
          <w:rFonts w:ascii="Segoe UI" w:hAnsi="Segoe UI" w:cs="Segoe UI"/>
          <w:sz w:val="18"/>
          <w:szCs w:val="18"/>
        </w:rPr>
      </w:pPr>
      <w:r w:rsidRPr="003F0DAE">
        <w:rPr>
          <w:b/>
          <w:bCs/>
        </w:rPr>
        <w:t>1</w:t>
      </w:r>
      <w:r w:rsidR="007D509F">
        <w:rPr>
          <w:b/>
          <w:bCs/>
        </w:rPr>
        <w:t>5</w:t>
      </w:r>
      <w:r w:rsidRPr="003F0DAE">
        <w:rPr>
          <w:b/>
          <w:bCs/>
        </w:rPr>
        <w:t>.4</w:t>
      </w:r>
      <w:r w:rsidR="007D509F">
        <w:rPr>
          <w:b/>
          <w:bCs/>
        </w:rPr>
        <w:t>.</w:t>
      </w:r>
      <w:r>
        <w:t xml:space="preserve"> </w:t>
      </w:r>
      <w:r w:rsidR="0079436E" w:rsidRPr="00100932">
        <w:t xml:space="preserve">Οι Συμμετέχοντες </w:t>
      </w:r>
      <w:r w:rsidR="00B63D9D">
        <w:t xml:space="preserve">συμπληρώνουν τα ζητούμενα τεχνικά χαρακτηριστικά, σύμφωνα με το </w:t>
      </w:r>
      <w:r w:rsidR="00B63D9D" w:rsidRPr="00D3106F">
        <w:t>Παράρτημα Β1</w:t>
      </w:r>
      <w:r w:rsidR="007D509F">
        <w:t xml:space="preserve"> </w:t>
      </w:r>
      <w:r w:rsidR="007D509F" w:rsidRPr="007D509F">
        <w:t xml:space="preserve">και </w:t>
      </w:r>
      <w:r w:rsidR="0079436E" w:rsidRPr="00100932">
        <w:t xml:space="preserve">υποβάλουν </w:t>
      </w:r>
      <w:r w:rsidR="00B63D9D">
        <w:t>Υ</w:t>
      </w:r>
      <w:r w:rsidR="0079436E" w:rsidRPr="00100932">
        <w:t>πεύθυν</w:t>
      </w:r>
      <w:r w:rsidR="00B63D9D">
        <w:t>ες</w:t>
      </w:r>
      <w:r w:rsidR="0079436E" w:rsidRPr="00100932">
        <w:t xml:space="preserve"> </w:t>
      </w:r>
      <w:r w:rsidR="00B63D9D">
        <w:t xml:space="preserve">δηλώσεις σύμφωνα με το </w:t>
      </w:r>
      <w:r w:rsidR="00B63D9D" w:rsidRPr="00D3106F">
        <w:t>Παράρτημα Θ</w:t>
      </w:r>
      <w:r w:rsidR="0079436E" w:rsidRPr="00D3106F">
        <w:t xml:space="preserve"> ότι</w:t>
      </w:r>
      <w:r w:rsidR="0079436E" w:rsidRPr="00100932">
        <w:t xml:space="preserve"> οι </w:t>
      </w:r>
      <w:r w:rsidR="007D509F">
        <w:t xml:space="preserve">Συμμετέχοντες και οι </w:t>
      </w:r>
      <w:r w:rsidR="0079436E" w:rsidRPr="00100932">
        <w:t>Ενισχυόμενοι Σ.Α.Η.Ε. θα πληρούν τ</w:t>
      </w:r>
      <w:r w:rsidR="0079436E">
        <w:t>ις</w:t>
      </w:r>
      <w:r w:rsidR="0079436E" w:rsidRPr="00100932">
        <w:t xml:space="preserve"> εν λόγω </w:t>
      </w:r>
      <w:r w:rsidR="0079436E" w:rsidRPr="0079436E">
        <w:t>υποχρεώσε</w:t>
      </w:r>
      <w:r w:rsidR="0079436E">
        <w:t>ις</w:t>
      </w:r>
      <w:r w:rsidR="0079436E" w:rsidRPr="0079436E">
        <w:t>, τεχνικ</w:t>
      </w:r>
      <w:r w:rsidR="0079436E">
        <w:t>ές</w:t>
      </w:r>
      <w:r w:rsidR="0079436E" w:rsidRPr="0079436E">
        <w:t xml:space="preserve"> προδιαγραφ</w:t>
      </w:r>
      <w:r w:rsidR="0079436E">
        <w:t>ές</w:t>
      </w:r>
      <w:r w:rsidR="0079436E" w:rsidRPr="0079436E">
        <w:t xml:space="preserve"> και απαιτήσε</w:t>
      </w:r>
      <w:r w:rsidR="0079436E">
        <w:t>ις</w:t>
      </w:r>
      <w:r w:rsidR="0079436E" w:rsidRPr="0079436E">
        <w:t xml:space="preserve"> </w:t>
      </w:r>
      <w:r w:rsidR="0079436E" w:rsidRPr="00100932">
        <w:t>κατά την έναρξη λειτουργίας και καθ' όλη την διάρκεια της Περιόδου Ενίσχυσης.</w:t>
      </w:r>
      <w:r w:rsidR="0079436E" w:rsidRPr="00100932">
        <w:rPr>
          <w:rFonts w:ascii="Segoe UI" w:hAnsi="Segoe UI" w:cs="Segoe UI"/>
          <w:sz w:val="18"/>
          <w:szCs w:val="18"/>
        </w:rPr>
        <w:t xml:space="preserve"> </w:t>
      </w:r>
    </w:p>
    <w:p w14:paraId="200350F6" w14:textId="77777777" w:rsidR="00D3106F" w:rsidRPr="00100932" w:rsidRDefault="00D3106F" w:rsidP="0079436E"/>
    <w:p w14:paraId="759CEFE3" w14:textId="38E0ACA9" w:rsidR="0079436E" w:rsidRPr="00100932" w:rsidRDefault="0079436E" w:rsidP="0079436E">
      <w:r>
        <w:rPr>
          <w:b/>
        </w:rPr>
        <w:t>1</w:t>
      </w:r>
      <w:r w:rsidR="007D509F">
        <w:rPr>
          <w:b/>
        </w:rPr>
        <w:t>5</w:t>
      </w:r>
      <w:r>
        <w:rPr>
          <w:b/>
        </w:rPr>
        <w:t>.</w:t>
      </w:r>
      <w:r w:rsidR="007D509F">
        <w:rPr>
          <w:b/>
        </w:rPr>
        <w:t>5.</w:t>
      </w:r>
      <w:r w:rsidRPr="003F0DAE">
        <w:rPr>
          <w:b/>
        </w:rPr>
        <w:t xml:space="preserve"> </w:t>
      </w:r>
      <w:r w:rsidRPr="003F0DAE">
        <w:t>Οι Κάτοχοι των Ενισχυόμενων Σ.Α.Η.Ε. οφείλουν να διατηρούν τις ανωτέρω ελάχιστες απαιτήσεις τεχνικών χαρακτηριστι</w:t>
      </w:r>
      <w:r w:rsidR="000B0C95">
        <w:t>κ</w:t>
      </w:r>
      <w:r w:rsidRPr="003F0DAE">
        <w:t>ών καθ’ όλη τη διάρκεια της Περιόδου Ενίσχυσης. Η αποδοχή πλήρωσης των ανωτέρω απαιτήσεων αποτελεί προϋπόθεση παραδεκτού της Αίτησης Συμμετοχής και η έλλειψή της συνεπάγεται τον αποκλεισμό του Συμμετέχοντος.</w:t>
      </w:r>
    </w:p>
    <w:p w14:paraId="142F5C54" w14:textId="77777777" w:rsidR="002325D6" w:rsidRPr="004E7B57" w:rsidRDefault="002325D6" w:rsidP="0079436E"/>
    <w:p w14:paraId="2C674286" w14:textId="521F1927" w:rsidR="00DF2E4E" w:rsidRPr="004E7B57" w:rsidRDefault="004F0A35" w:rsidP="004F0A35">
      <w:r w:rsidRPr="003F0DAE">
        <w:rPr>
          <w:b/>
          <w:bCs/>
        </w:rPr>
        <w:t>1</w:t>
      </w:r>
      <w:r w:rsidR="007D509F">
        <w:rPr>
          <w:b/>
          <w:bCs/>
        </w:rPr>
        <w:t>5</w:t>
      </w:r>
      <w:r w:rsidRPr="003F0DAE">
        <w:rPr>
          <w:b/>
          <w:bCs/>
        </w:rPr>
        <w:t>.</w:t>
      </w:r>
      <w:r w:rsidR="007D509F">
        <w:rPr>
          <w:b/>
          <w:bCs/>
        </w:rPr>
        <w:t>6.</w:t>
      </w:r>
      <w:r>
        <w:t xml:space="preserve"> </w:t>
      </w:r>
      <w:r w:rsidR="00DF2E4E" w:rsidRPr="00D3106F">
        <w:rPr>
          <w:b/>
          <w:bCs/>
        </w:rPr>
        <w:t xml:space="preserve">Έκαστος </w:t>
      </w:r>
      <w:r w:rsidR="00BE4E1D" w:rsidRPr="00D3106F">
        <w:rPr>
          <w:b/>
          <w:bCs/>
        </w:rPr>
        <w:t>Επιλεγείς Συμμετέχων</w:t>
      </w:r>
      <w:r w:rsidR="00DF2E4E" w:rsidRPr="00D3106F">
        <w:rPr>
          <w:b/>
          <w:bCs/>
        </w:rPr>
        <w:t xml:space="preserve"> </w:t>
      </w:r>
      <w:r w:rsidRPr="00D3106F">
        <w:rPr>
          <w:b/>
          <w:bCs/>
        </w:rPr>
        <w:t xml:space="preserve">οφείλει να </w:t>
      </w:r>
      <w:r w:rsidR="00DF2E4E" w:rsidRPr="00D3106F">
        <w:rPr>
          <w:b/>
          <w:bCs/>
        </w:rPr>
        <w:t>υποβάλλει:</w:t>
      </w:r>
      <w:r w:rsidR="00DF2E4E" w:rsidRPr="004E7B57">
        <w:t xml:space="preserve"> </w:t>
      </w:r>
    </w:p>
    <w:p w14:paraId="2D4CA99D" w14:textId="1728A63A" w:rsidR="00DF2E4E" w:rsidRPr="004E7B57" w:rsidRDefault="00DF2E4E" w:rsidP="00E67595">
      <w:pPr>
        <w:pStyle w:val="a4"/>
        <w:numPr>
          <w:ilvl w:val="0"/>
          <w:numId w:val="8"/>
        </w:numPr>
      </w:pPr>
      <w:r w:rsidRPr="004E7B57">
        <w:t>Στη Ρ.Α.Α.Ε.Υ., στον Διαχειριστή του Ε.Σ.Μ.Η.Ε. και στον Διαχειριστή Α.Π.Ε. και Εγγυήσεων Προέλευσης, εντός έξι (6) μηνών από την έκδοση των οριστικών αποτελεσμάτων της Ανταγωνιστικής Διαδικασίας, αποδεικτικό συνεργασίας με έναν ή περισσότερους φορείς, οι οποίοι διαθέτουν την επάρκεια και τις κατά περίπτωση απαιτούμενες διαπιστεύσεις προκειμένου να διενεργήσουν τους ελέγχους και τις δοκιμές και να εκπονήσουν τις μελέτες και τις εκθέσεις που απαιτούνται για την εκπλήρωση των προβλεπόμενων στ</w:t>
      </w:r>
      <w:r w:rsidR="00575BE5" w:rsidRPr="004E7B57">
        <w:t xml:space="preserve">ην </w:t>
      </w:r>
      <w:r w:rsidR="00575BE5" w:rsidRPr="00D3106F">
        <w:t xml:space="preserve">παρ. </w:t>
      </w:r>
      <w:r w:rsidR="007D509F" w:rsidRPr="00D3106F">
        <w:t>15.2(</w:t>
      </w:r>
      <w:proofErr w:type="spellStart"/>
      <w:r w:rsidR="007D509F" w:rsidRPr="00D3106F">
        <w:t>ιε</w:t>
      </w:r>
      <w:proofErr w:type="spellEnd"/>
      <w:r w:rsidR="007D509F" w:rsidRPr="00D3106F">
        <w:t>).</w:t>
      </w:r>
      <w:r w:rsidR="007D509F" w:rsidRPr="004E7B57">
        <w:t xml:space="preserve"> </w:t>
      </w:r>
      <w:r w:rsidRPr="004E7B57">
        <w:t xml:space="preserve">Η προσκόμιση του αποδεικτικού του προηγούμενου εδαφίου αποτελεί προϋπόθεση για τη σύναψη Σύμβασης Σύνδεσης με το Ε.Σ.Μ.Η.Ε.. </w:t>
      </w:r>
    </w:p>
    <w:p w14:paraId="1E22397B" w14:textId="49F236A5" w:rsidR="00DF2E4E" w:rsidRPr="004E7B57" w:rsidRDefault="00DF2E4E" w:rsidP="00E67595">
      <w:pPr>
        <w:pStyle w:val="a4"/>
        <w:numPr>
          <w:ilvl w:val="0"/>
          <w:numId w:val="8"/>
        </w:numPr>
      </w:pPr>
      <w:r w:rsidRPr="004E7B57">
        <w:t xml:space="preserve">Στη Ρ.Α.Α.Ε.Υ., στον Διαχειριστή Α.Π.Ε. και Εγγυήσεων Προέλευσης και στον φορέα έκδοσης της άδειας εγκατάστασης, ασφαλιστήριο συμβόλαιο για το στάδιο κατασκευής του, κατά την παρ. 7 του άρθρου 8 της </w:t>
      </w:r>
      <w:r w:rsidR="00575BE5" w:rsidRPr="004E7B57">
        <w:t xml:space="preserve">Υπουργικής </w:t>
      </w:r>
      <w:r w:rsidRPr="004E7B57">
        <w:t>Απόφασης, συνοδευόμενο από έκθεση εκτίμησης κινδύνων κατά την κατασκευή και λειτουργία του (</w:t>
      </w:r>
      <w:proofErr w:type="spellStart"/>
      <w:r w:rsidRPr="004E7B57">
        <w:t>risk</w:t>
      </w:r>
      <w:proofErr w:type="spellEnd"/>
      <w:r w:rsidRPr="004E7B57">
        <w:t xml:space="preserve"> </w:t>
      </w:r>
      <w:proofErr w:type="spellStart"/>
      <w:r w:rsidRPr="004E7B57">
        <w:t>assessment</w:t>
      </w:r>
      <w:proofErr w:type="spellEnd"/>
      <w:r w:rsidRPr="004E7B57">
        <w:t xml:space="preserve"> and </w:t>
      </w:r>
      <w:proofErr w:type="spellStart"/>
      <w:r w:rsidRPr="004E7B57">
        <w:t>mitigation</w:t>
      </w:r>
      <w:proofErr w:type="spellEnd"/>
      <w:r w:rsidRPr="004E7B57">
        <w:t xml:space="preserve"> </w:t>
      </w:r>
      <w:proofErr w:type="spellStart"/>
      <w:r w:rsidRPr="004E7B57">
        <w:t>report</w:t>
      </w:r>
      <w:proofErr w:type="spellEnd"/>
      <w:r w:rsidRPr="004E7B57">
        <w:t xml:space="preserve">), η οποία εκπονείται από φορέα της παρ. </w:t>
      </w:r>
      <w:r w:rsidRPr="003F0A0E">
        <w:t>1</w:t>
      </w:r>
      <w:r w:rsidR="003F0A0E" w:rsidRPr="003F0A0E">
        <w:t>5.2 (</w:t>
      </w:r>
      <w:proofErr w:type="spellStart"/>
      <w:r w:rsidR="003F0A0E" w:rsidRPr="003F0A0E">
        <w:t>ιε</w:t>
      </w:r>
      <w:proofErr w:type="spellEnd"/>
      <w:r w:rsidR="003F0A0E" w:rsidRPr="003F0A0E">
        <w:t>)</w:t>
      </w:r>
      <w:r w:rsidRPr="003F0A0E">
        <w:t>.</w:t>
      </w:r>
      <w:r w:rsidRPr="004E7B57">
        <w:t xml:space="preserve"> Η προσκόμιση του ασφαλιστηρίου και της συνοδευτικής έκθεσης του προηγούμενου εδαφίου αποτελεί προϋπόθεση για την έκδοση της </w:t>
      </w:r>
      <w:r w:rsidRPr="004E7B57">
        <w:lastRenderedPageBreak/>
        <w:t xml:space="preserve">άδειας εγκατάστασης του Σ.Α.Η.Ε.. </w:t>
      </w:r>
    </w:p>
    <w:p w14:paraId="4A14ADF5" w14:textId="0CE9D41B" w:rsidR="0082131F" w:rsidRPr="004E7B57" w:rsidRDefault="00DF2E4E" w:rsidP="00E67595">
      <w:pPr>
        <w:pStyle w:val="a4"/>
        <w:numPr>
          <w:ilvl w:val="0"/>
          <w:numId w:val="8"/>
        </w:numPr>
      </w:pPr>
      <w:r w:rsidRPr="004E7B57">
        <w:t xml:space="preserve">Στη Ρ.Α.Α.Ε.Υ., στον Διαχειριστή Α.Π.Ε. και Εγγυήσεων Προέλευσης και στον φορέα έκδοσης της άδειας λειτουργίας του Σ.Α.Η.Ε., ασφαλιστήριο συμβόλαιο για ολόκληρη την περίοδο λειτουργίας του Σ.Α.Η.Ε. κατά την παρ. 7 του άρθρου 8 της </w:t>
      </w:r>
      <w:r w:rsidR="00575BE5" w:rsidRPr="004E7B57">
        <w:t>Υπουργικής</w:t>
      </w:r>
      <w:r w:rsidRPr="004E7B57">
        <w:t xml:space="preserve"> Απόφασης, συνοδευόμενο από έκθεση εκτίμησης κινδύνων (</w:t>
      </w:r>
      <w:proofErr w:type="spellStart"/>
      <w:r w:rsidRPr="004E7B57">
        <w:t>risk</w:t>
      </w:r>
      <w:proofErr w:type="spellEnd"/>
      <w:r w:rsidRPr="004E7B57">
        <w:t xml:space="preserve"> </w:t>
      </w:r>
      <w:proofErr w:type="spellStart"/>
      <w:r w:rsidRPr="004E7B57">
        <w:t>assessment</w:t>
      </w:r>
      <w:proofErr w:type="spellEnd"/>
      <w:r w:rsidRPr="004E7B57">
        <w:t xml:space="preserve"> and </w:t>
      </w:r>
      <w:proofErr w:type="spellStart"/>
      <w:r w:rsidRPr="004E7B57">
        <w:t>mitigation</w:t>
      </w:r>
      <w:proofErr w:type="spellEnd"/>
      <w:r w:rsidRPr="004E7B57">
        <w:t xml:space="preserve"> </w:t>
      </w:r>
      <w:proofErr w:type="spellStart"/>
      <w:r w:rsidRPr="004E7B57">
        <w:t>report</w:t>
      </w:r>
      <w:proofErr w:type="spellEnd"/>
      <w:r w:rsidRPr="004E7B57">
        <w:t xml:space="preserve">), η οποία εκπονείται από φορέα της παρ. </w:t>
      </w:r>
      <w:r w:rsidR="007D509F" w:rsidRPr="00D3106F">
        <w:t>15.2(</w:t>
      </w:r>
      <w:proofErr w:type="spellStart"/>
      <w:r w:rsidR="007D509F" w:rsidRPr="00D3106F">
        <w:t>ιε</w:t>
      </w:r>
      <w:proofErr w:type="spellEnd"/>
      <w:r w:rsidR="007D509F" w:rsidRPr="00D3106F">
        <w:t>).</w:t>
      </w:r>
      <w:r w:rsidR="007D509F" w:rsidRPr="004E7B57">
        <w:t xml:space="preserve"> </w:t>
      </w:r>
      <w:r w:rsidRPr="004E7B57">
        <w:t>Η προσκόμιση του ασφαλιστηρίου και της συνοδευτικής έκθεσης του προηγούμενου εδαφίου αποτελεί προϋπόθεση για την ηλέκτριση του Σ.Α.Η.Ε. και την έναρξη της δοκιμαστικής του λειτουργίας, όπως και για την έκδοση της άδειας λειτουργίας αυτού στη συνέχεια. Η απαίτηση αυτή δύναται να καλύπτεται και με ασφαλιστήρια συμβόλαια μικρότερης διάρκειας, τα οποία ανανεώνονται εγκαίρως και προσκομίζονται στη Ρ.Α.Α.Ε.Υ., στον Διαχειριστή Α.Π.Ε. και Εγγυήσεων Προέλευσης και στον φορέα έκδοσης της άδειας λειτουργίας του Σ.Α.Η.Ε..</w:t>
      </w:r>
    </w:p>
    <w:p w14:paraId="19CCD04E" w14:textId="477CADBA" w:rsidR="000B0C95" w:rsidRPr="004E7B57" w:rsidRDefault="000B0C95" w:rsidP="006B5994">
      <w:pPr>
        <w:ind w:left="993" w:hanging="720"/>
      </w:pPr>
      <w:r w:rsidRPr="003F0DAE">
        <w:rPr>
          <w:b/>
          <w:bCs/>
        </w:rPr>
        <w:t>1</w:t>
      </w:r>
      <w:r w:rsidR="007D509F">
        <w:rPr>
          <w:b/>
          <w:bCs/>
        </w:rPr>
        <w:t>5</w:t>
      </w:r>
      <w:r w:rsidRPr="003F0DAE">
        <w:rPr>
          <w:b/>
          <w:bCs/>
        </w:rPr>
        <w:t>.</w:t>
      </w:r>
      <w:r w:rsidR="007D509F">
        <w:rPr>
          <w:b/>
          <w:bCs/>
        </w:rPr>
        <w:t>7.</w:t>
      </w:r>
      <w:r>
        <w:t xml:space="preserve"> </w:t>
      </w:r>
      <w:r w:rsidRPr="00D3106F">
        <w:rPr>
          <w:b/>
          <w:bCs/>
        </w:rPr>
        <w:t>Παραμονή στο σχήμα στήριξης - διατήρηση ορίων ισχύος συμμετοχής και κατακύρωσης</w:t>
      </w:r>
      <w:r w:rsidRPr="004E7B57">
        <w:t xml:space="preserve"> </w:t>
      </w:r>
    </w:p>
    <w:p w14:paraId="61600B30" w14:textId="6C864E96" w:rsidR="000B0C95" w:rsidRPr="004E7B57" w:rsidRDefault="000B0C95" w:rsidP="00E67595">
      <w:pPr>
        <w:pStyle w:val="a4"/>
        <w:numPr>
          <w:ilvl w:val="0"/>
          <w:numId w:val="10"/>
        </w:numPr>
        <w:ind w:left="709"/>
      </w:pPr>
      <w:r w:rsidRPr="004E7B57">
        <w:t xml:space="preserve">Ο Επιλεγείς Συμμετέχων δεν δύναται να </w:t>
      </w:r>
      <w:r w:rsidR="00B63D9D">
        <w:t>αιτηθεί</w:t>
      </w:r>
      <w:r w:rsidRPr="004E7B57">
        <w:t xml:space="preserve"> </w:t>
      </w:r>
      <w:proofErr w:type="spellStart"/>
      <w:r w:rsidRPr="004E7B57">
        <w:t>απένταξη</w:t>
      </w:r>
      <w:proofErr w:type="spellEnd"/>
      <w:r w:rsidRPr="004E7B57">
        <w:t xml:space="preserve"> του Σ.Α.Η.Ε. από το σχήμα στήριξης πριν από τη λήξη της Περιόδου Ενίσχυσης. </w:t>
      </w:r>
    </w:p>
    <w:p w14:paraId="3C9A1BE3" w14:textId="5B0676AA" w:rsidR="000B0C95" w:rsidRPr="004E7B57" w:rsidRDefault="000B0C95" w:rsidP="00E67595">
      <w:pPr>
        <w:pStyle w:val="a4"/>
        <w:numPr>
          <w:ilvl w:val="0"/>
          <w:numId w:val="10"/>
        </w:numPr>
        <w:ind w:left="709"/>
      </w:pPr>
      <w:r w:rsidRPr="004E7B57">
        <w:t>Οι Κάτοχοι των Ενισχυόμενων Σ.Α.Η.Ε. οφείλουν να καταθέτουν στη Ρ.Α.Α.Ε.Υ., ετησίως καθ’ όλη τη διάρκεια της Περιόδου Ενίσχυσης, δήλωση στην οποία βεβαιώνουν ότι δεν έχουν στην κατοχή τους, οι ίδιοι και οι Συνδεδεμένες ή Συνεργαζόμενες με αυτούς Επιχειρήσεις, Ενισχυόμενους Σ.Α.Η.Ε. από την Α’ και τη Β’ Ανταγωνιστική Διαδικασία ισχύος μεγαλύτερης των 100 μεγαβάτ (MW).</w:t>
      </w:r>
    </w:p>
    <w:p w14:paraId="64AE5291" w14:textId="77777777" w:rsidR="0082131F" w:rsidRPr="004E7B57" w:rsidRDefault="0082131F" w:rsidP="00E76414"/>
    <w:p w14:paraId="17F1750A" w14:textId="79B6B5C1" w:rsidR="0020216F" w:rsidRPr="004E7B57" w:rsidRDefault="0020216F" w:rsidP="00881D1C">
      <w:pPr>
        <w:pStyle w:val="20"/>
      </w:pPr>
      <w:r w:rsidRPr="004E7B57">
        <w:t>Άρθρο 1</w:t>
      </w:r>
      <w:r w:rsidR="007D509F">
        <w:t>6</w:t>
      </w:r>
    </w:p>
    <w:p w14:paraId="6711B8B6" w14:textId="01B550CD" w:rsidR="0020216F" w:rsidRPr="004E7B57" w:rsidRDefault="0020216F" w:rsidP="00881D1C">
      <w:pPr>
        <w:pStyle w:val="20"/>
      </w:pPr>
      <w:r w:rsidRPr="004E7B57">
        <w:t>Κυρώσεις</w:t>
      </w:r>
      <w:r w:rsidR="00B63D9D">
        <w:t xml:space="preserve"> - </w:t>
      </w:r>
      <w:proofErr w:type="spellStart"/>
      <w:r w:rsidR="00B63D9D">
        <w:t>Απένταξη</w:t>
      </w:r>
      <w:proofErr w:type="spellEnd"/>
    </w:p>
    <w:p w14:paraId="67FF279E" w14:textId="77777777" w:rsidR="0020216F" w:rsidRPr="004E7B57" w:rsidRDefault="0020216F" w:rsidP="00E76414"/>
    <w:p w14:paraId="6DDB7781" w14:textId="116D739C" w:rsidR="00226FED" w:rsidRPr="004E7B57" w:rsidRDefault="00226FED" w:rsidP="00E76414">
      <w:r w:rsidRPr="00881D1C">
        <w:rPr>
          <w:b/>
          <w:bCs/>
        </w:rPr>
        <w:t>1</w:t>
      </w:r>
      <w:r w:rsidR="007D509F">
        <w:rPr>
          <w:b/>
          <w:bCs/>
        </w:rPr>
        <w:t>6</w:t>
      </w:r>
      <w:r w:rsidRPr="00881D1C">
        <w:rPr>
          <w:b/>
          <w:bCs/>
        </w:rPr>
        <w:t>.1.</w:t>
      </w:r>
      <w:r w:rsidRPr="004E7B57">
        <w:t xml:space="preserve"> </w:t>
      </w:r>
      <w:r w:rsidRPr="00323221">
        <w:rPr>
          <w:b/>
          <w:bCs/>
        </w:rPr>
        <w:t>Έγκαιρη και έντεχνη υλοποίηση των Σ.Α.Η.Ε.:</w:t>
      </w:r>
      <w:r w:rsidRPr="004E7B57">
        <w:t xml:space="preserve"> </w:t>
      </w:r>
    </w:p>
    <w:p w14:paraId="17848BB9" w14:textId="48B77BE4" w:rsidR="00226FED" w:rsidRPr="004E7B57" w:rsidRDefault="00226FED" w:rsidP="00E67595">
      <w:pPr>
        <w:pStyle w:val="a4"/>
        <w:numPr>
          <w:ilvl w:val="0"/>
          <w:numId w:val="34"/>
        </w:numPr>
      </w:pPr>
      <w:r w:rsidRPr="004E7B57">
        <w:t xml:space="preserve">Σε περίπτωση που ο </w:t>
      </w:r>
      <w:r w:rsidR="00BE4E1D" w:rsidRPr="004E7B57">
        <w:t xml:space="preserve">Επιλεγείς Συμμετέχων </w:t>
      </w:r>
      <w:r w:rsidRPr="004E7B57">
        <w:t>δεν υποβάλει στον Διαχειριστή Ε.Σ.Μ.Η.Ε. αίτηση για ενεργοποίηση της σύνδεσης του Σ.Α.Η.Ε. κατά την παρ. 2 του άρθρου 27 του ν. 4951/2022, μέχρι και την 30</w:t>
      </w:r>
      <w:r w:rsidRPr="00A52C32">
        <w:rPr>
          <w:vertAlign w:val="superscript"/>
        </w:rPr>
        <w:t>η</w:t>
      </w:r>
      <w:r w:rsidRPr="004E7B57">
        <w:t xml:space="preserve"> Σεπτεμβρίου 2025, καταπίπτει μερικώς η Εγγυητική Επιστολή Έντεχνης και Έγκαιρης Εκτέλεσης, κατά τα οριζόμενα στην παρ</w:t>
      </w:r>
      <w:r w:rsidRPr="00323221">
        <w:t>. 11.</w:t>
      </w:r>
      <w:r w:rsidR="007D509F" w:rsidRPr="00323221">
        <w:t>3</w:t>
      </w:r>
      <w:r w:rsidRPr="00323221">
        <w:t>.2.</w:t>
      </w:r>
    </w:p>
    <w:p w14:paraId="52F0F56C" w14:textId="393B798E" w:rsidR="00226FED" w:rsidRDefault="00226FED" w:rsidP="00E67595">
      <w:pPr>
        <w:pStyle w:val="a4"/>
        <w:numPr>
          <w:ilvl w:val="0"/>
          <w:numId w:val="34"/>
        </w:numPr>
      </w:pPr>
      <w:r w:rsidRPr="004E7B57">
        <w:t xml:space="preserve">Σε περίπτωση που ο </w:t>
      </w:r>
      <w:r w:rsidR="00BE4E1D" w:rsidRPr="004E7B57">
        <w:t xml:space="preserve">Επιλεγείς Συμμετέχων </w:t>
      </w:r>
      <w:r w:rsidRPr="004E7B57">
        <w:t xml:space="preserve">δεν υποβάλει στον Διαχειριστή Ε.Σ.Μ.Η.Ε. αίτηση για ενεργοποίηση της σύνδεσης του Σ.Α.Η.Ε. κατά την παρ. 2 του άρθρου 27 του ν. 4951/2022, μέχρι και την 31η Δεκεμβρίου 2025, ο Επιλεγείς Συμμετέχων </w:t>
      </w:r>
      <w:proofErr w:type="spellStart"/>
      <w:r w:rsidRPr="004E7B57">
        <w:t>απεντάσσεται</w:t>
      </w:r>
      <w:proofErr w:type="spellEnd"/>
      <w:r w:rsidRPr="004E7B57">
        <w:t xml:space="preserve"> από το καθεστώς στήριξης και καταπίπτει στο σύνολό της η Εγγυητική Επιστολή</w:t>
      </w:r>
      <w:r w:rsidR="000F5211">
        <w:t xml:space="preserve"> Έντεχνης και Έγκαιρης Εκτέλεσης</w:t>
      </w:r>
      <w:r w:rsidRPr="004E7B57">
        <w:t>.</w:t>
      </w:r>
    </w:p>
    <w:p w14:paraId="7C1166B4" w14:textId="77777777" w:rsidR="00A52C32" w:rsidRPr="004E7B57" w:rsidRDefault="00A52C32" w:rsidP="00E76414">
      <w:pPr>
        <w:rPr>
          <w:b/>
          <w:bCs/>
        </w:rPr>
      </w:pPr>
    </w:p>
    <w:p w14:paraId="28FA1F3A" w14:textId="64FBB02B" w:rsidR="00393E05" w:rsidRPr="00A52C32" w:rsidRDefault="001308F2" w:rsidP="00403B0E">
      <w:pPr>
        <w:ind w:left="709" w:hanging="709"/>
        <w:rPr>
          <w:b/>
          <w:bCs/>
        </w:rPr>
      </w:pPr>
      <w:r w:rsidRPr="00881D1C">
        <w:rPr>
          <w:b/>
          <w:bCs/>
        </w:rPr>
        <w:t>1</w:t>
      </w:r>
      <w:r w:rsidR="00F11CE9">
        <w:rPr>
          <w:b/>
          <w:bCs/>
        </w:rPr>
        <w:t>6</w:t>
      </w:r>
      <w:r w:rsidRPr="00881D1C">
        <w:rPr>
          <w:b/>
          <w:bCs/>
        </w:rPr>
        <w:t>.</w:t>
      </w:r>
      <w:r w:rsidR="00226FED" w:rsidRPr="00881D1C">
        <w:rPr>
          <w:b/>
          <w:bCs/>
        </w:rPr>
        <w:t>2</w:t>
      </w:r>
      <w:r w:rsidR="00380349" w:rsidRPr="00881D1C">
        <w:rPr>
          <w:b/>
          <w:bCs/>
        </w:rPr>
        <w:t>.</w:t>
      </w:r>
      <w:r w:rsidR="00380349" w:rsidRPr="004E7B57">
        <w:t xml:space="preserve"> </w:t>
      </w:r>
      <w:r w:rsidR="00664D3D" w:rsidRPr="00A52C32">
        <w:rPr>
          <w:b/>
          <w:bCs/>
        </w:rPr>
        <w:t xml:space="preserve">Έκδοση Εγγυητικών Επιστολών </w:t>
      </w:r>
      <w:r w:rsidR="0026596F" w:rsidRPr="00A52C32">
        <w:rPr>
          <w:b/>
          <w:bCs/>
        </w:rPr>
        <w:t>Έντεχνης και Έγκαιρης</w:t>
      </w:r>
      <w:r w:rsidR="00664D3D" w:rsidRPr="00A52C32">
        <w:rPr>
          <w:b/>
          <w:bCs/>
        </w:rPr>
        <w:t xml:space="preserve"> Εκτέλεσης και Καλής Λειτουργίας:</w:t>
      </w:r>
    </w:p>
    <w:p w14:paraId="6B9BBDC4" w14:textId="61AE027A" w:rsidR="00664D3D" w:rsidRPr="004E7B57" w:rsidRDefault="00664D3D" w:rsidP="00E67595">
      <w:pPr>
        <w:pStyle w:val="a4"/>
        <w:numPr>
          <w:ilvl w:val="0"/>
          <w:numId w:val="35"/>
        </w:numPr>
      </w:pPr>
      <w:r w:rsidRPr="004E7B57">
        <w:t xml:space="preserve">Σε περίπτωση </w:t>
      </w:r>
      <w:r w:rsidR="00D504F6" w:rsidRPr="004E7B57">
        <w:t>μη υποβολής της</w:t>
      </w:r>
      <w:r w:rsidRPr="004E7B57">
        <w:t xml:space="preserve"> Εγγυητική</w:t>
      </w:r>
      <w:r w:rsidR="00D504F6" w:rsidRPr="004E7B57">
        <w:t>ς</w:t>
      </w:r>
      <w:r w:rsidRPr="004E7B57">
        <w:t xml:space="preserve"> Επιστολή</w:t>
      </w:r>
      <w:r w:rsidR="00D504F6" w:rsidRPr="004E7B57">
        <w:t>ς</w:t>
      </w:r>
      <w:r w:rsidRPr="004E7B57">
        <w:t xml:space="preserve"> Έντεχνης και Έγκαιρης Εκτέλεσης, εντός </w:t>
      </w:r>
      <w:r w:rsidR="00226FED" w:rsidRPr="004E7B57">
        <w:t xml:space="preserve">τριών </w:t>
      </w:r>
      <w:r w:rsidR="00796239" w:rsidRPr="004E7B57">
        <w:t xml:space="preserve">(3) </w:t>
      </w:r>
      <w:r w:rsidR="00226FED" w:rsidRPr="004E7B57">
        <w:t>μηνών από την έκδοση του Οριστικού Καταλόγου Επιλεγέντων, Αποκλεισθέντων και Επιλαχόντων Συμμετεχόντων</w:t>
      </w:r>
      <w:r w:rsidRPr="004E7B57">
        <w:t xml:space="preserve"> σύμφωνα με τα οριζόμενα στην παρ. </w:t>
      </w:r>
      <w:r w:rsidR="00843E55" w:rsidRPr="00A52C32">
        <w:t>11.</w:t>
      </w:r>
      <w:r w:rsidR="007D509F" w:rsidRPr="00A52C32">
        <w:t>3.2.</w:t>
      </w:r>
      <w:r w:rsidRPr="00A52C32">
        <w:t>,</w:t>
      </w:r>
      <w:r w:rsidRPr="004E7B57">
        <w:t xml:space="preserve"> </w:t>
      </w:r>
      <w:r w:rsidR="00D504F6" w:rsidRPr="004E7B57">
        <w:t xml:space="preserve">ο Επιλεγείς Συμμετέχων </w:t>
      </w:r>
      <w:proofErr w:type="spellStart"/>
      <w:r w:rsidRPr="004E7B57">
        <w:t>απεντάσσ</w:t>
      </w:r>
      <w:r w:rsidR="00D504F6" w:rsidRPr="004E7B57">
        <w:t>ε</w:t>
      </w:r>
      <w:r w:rsidRPr="004E7B57">
        <w:t>ται</w:t>
      </w:r>
      <w:proofErr w:type="spellEnd"/>
      <w:r w:rsidRPr="004E7B57">
        <w:t xml:space="preserve"> από το καθεστώς στήριξης. Στην περίπτωση αυτή</w:t>
      </w:r>
      <w:r w:rsidR="00226FED" w:rsidRPr="004E7B57">
        <w:t xml:space="preserve"> δεν επιστρέφεται και</w:t>
      </w:r>
      <w:r w:rsidRPr="004E7B57">
        <w:t xml:space="preserve"> καταπίπτει η Εγγυητική Επιστολή Συμμετοχής</w:t>
      </w:r>
      <w:r w:rsidR="000B55CB" w:rsidRPr="004E7B57">
        <w:t xml:space="preserve"> και καλείται προς ένταξη </w:t>
      </w:r>
      <w:r w:rsidR="00796239" w:rsidRPr="004E7B57">
        <w:t>Ε</w:t>
      </w:r>
      <w:r w:rsidR="000B55CB" w:rsidRPr="004E7B57">
        <w:t>πιλαχών Σ.Α.Η.Ε.</w:t>
      </w:r>
      <w:r w:rsidR="00135CD0" w:rsidRPr="004E7B57">
        <w:t xml:space="preserve"> εκ </w:t>
      </w:r>
      <w:r w:rsidR="000B55CB" w:rsidRPr="004E7B57">
        <w:t>του Οριστικού Καταλόγου Επιλεγέντων, Αποκλεισθέντων και Επιλαχόντων Συμμετεχόντων</w:t>
      </w:r>
      <w:r w:rsidR="00067F18" w:rsidRPr="004E7B57">
        <w:t xml:space="preserve"> κατά τα οριζόμενα στο </w:t>
      </w:r>
      <w:r w:rsidR="00067F18" w:rsidRPr="00A52C32">
        <w:t>άρθρο 1</w:t>
      </w:r>
      <w:r w:rsidR="007D509F" w:rsidRPr="00A52C32">
        <w:t>2</w:t>
      </w:r>
      <w:r w:rsidRPr="00A52C32">
        <w:t>.</w:t>
      </w:r>
    </w:p>
    <w:p w14:paraId="563118F4" w14:textId="4E00605D" w:rsidR="00D504F6" w:rsidRPr="004E7B57" w:rsidRDefault="00D504F6" w:rsidP="00E67595">
      <w:pPr>
        <w:pStyle w:val="a4"/>
        <w:numPr>
          <w:ilvl w:val="0"/>
          <w:numId w:val="35"/>
        </w:numPr>
      </w:pPr>
      <w:r w:rsidRPr="004E7B57">
        <w:t xml:space="preserve">Σε περίπτωση μη υποβολής της Εγγυητικής Επιστολής Καλής Λειτουργίας, ο Επιλεγείς </w:t>
      </w:r>
      <w:r w:rsidRPr="004E7B57">
        <w:lastRenderedPageBreak/>
        <w:t xml:space="preserve">Συμμετέχων </w:t>
      </w:r>
      <w:proofErr w:type="spellStart"/>
      <w:r w:rsidRPr="004E7B57">
        <w:t>απεντάσσεται</w:t>
      </w:r>
      <w:proofErr w:type="spellEnd"/>
      <w:r w:rsidRPr="004E7B57">
        <w:t xml:space="preserve"> από το καθεστώς στήριξης.</w:t>
      </w:r>
    </w:p>
    <w:p w14:paraId="24A26F8D" w14:textId="4C5A736E" w:rsidR="00664D3D" w:rsidRDefault="00664D3D" w:rsidP="00E67595">
      <w:pPr>
        <w:pStyle w:val="a4"/>
        <w:numPr>
          <w:ilvl w:val="0"/>
          <w:numId w:val="35"/>
        </w:numPr>
      </w:pPr>
      <w:r w:rsidRPr="004E7B57">
        <w:t xml:space="preserve">Σε περίπτωση </w:t>
      </w:r>
      <w:r w:rsidR="00D504F6" w:rsidRPr="004E7B57">
        <w:t xml:space="preserve">μη εμπρόθεσμης υποβολής ή μη υποβολής </w:t>
      </w:r>
      <w:r w:rsidR="00226FED" w:rsidRPr="004E7B57">
        <w:t xml:space="preserve">νέων Εγγυητικών Επιστολών κατά τις παρ. </w:t>
      </w:r>
      <w:r w:rsidR="00226FED" w:rsidRPr="00A52C32">
        <w:t>11.</w:t>
      </w:r>
      <w:r w:rsidR="007D509F" w:rsidRPr="00A52C32">
        <w:t>3</w:t>
      </w:r>
      <w:r w:rsidR="00226FED" w:rsidRPr="00A52C32">
        <w:t>.2 και 11.</w:t>
      </w:r>
      <w:r w:rsidR="007D509F" w:rsidRPr="00A52C32">
        <w:t>3</w:t>
      </w:r>
      <w:r w:rsidR="00226FED" w:rsidRPr="00A52C32">
        <w:t xml:space="preserve">.3, </w:t>
      </w:r>
      <w:r w:rsidR="00D504F6" w:rsidRPr="00A52C32">
        <w:t>καταπίπτει</w:t>
      </w:r>
      <w:r w:rsidR="00D504F6" w:rsidRPr="004E7B57">
        <w:t xml:space="preserve"> η </w:t>
      </w:r>
      <w:r w:rsidR="00843E55" w:rsidRPr="004E7B57">
        <w:t xml:space="preserve">αντίστοιχη προηγούμενη </w:t>
      </w:r>
      <w:r w:rsidR="00D504F6" w:rsidRPr="004E7B57">
        <w:t xml:space="preserve">Εγγυητική </w:t>
      </w:r>
      <w:r w:rsidRPr="004E7B57">
        <w:t>Επιστολή</w:t>
      </w:r>
      <w:r w:rsidR="00226FED" w:rsidRPr="004E7B57">
        <w:t xml:space="preserve"> </w:t>
      </w:r>
      <w:r w:rsidR="00843E55" w:rsidRPr="004E7B57">
        <w:t xml:space="preserve">και ο Επιλεγείς Συμμετέχων </w:t>
      </w:r>
      <w:proofErr w:type="spellStart"/>
      <w:r w:rsidR="00843E55" w:rsidRPr="004E7B57">
        <w:t>απεντάσσεται</w:t>
      </w:r>
      <w:proofErr w:type="spellEnd"/>
      <w:r w:rsidR="00843E55" w:rsidRPr="004E7B57">
        <w:t xml:space="preserve"> από το καθεστώς στήριξης</w:t>
      </w:r>
      <w:r w:rsidRPr="004E7B57">
        <w:t>.</w:t>
      </w:r>
    </w:p>
    <w:p w14:paraId="63992391" w14:textId="77777777" w:rsidR="00A52C32" w:rsidRPr="004E7B57" w:rsidRDefault="00A52C32" w:rsidP="00E76414"/>
    <w:p w14:paraId="718B8074" w14:textId="43AD233A" w:rsidR="001D031C" w:rsidRPr="004E7B57" w:rsidRDefault="00226FED" w:rsidP="00403B0E">
      <w:pPr>
        <w:ind w:left="709" w:hanging="709"/>
      </w:pPr>
      <w:r w:rsidRPr="00881D1C">
        <w:rPr>
          <w:b/>
          <w:bCs/>
        </w:rPr>
        <w:t>1</w:t>
      </w:r>
      <w:r w:rsidR="007D509F">
        <w:rPr>
          <w:b/>
          <w:bCs/>
        </w:rPr>
        <w:t>6</w:t>
      </w:r>
      <w:r w:rsidRPr="00881D1C">
        <w:rPr>
          <w:b/>
          <w:bCs/>
        </w:rPr>
        <w:t>.3</w:t>
      </w:r>
      <w:r w:rsidR="007D509F">
        <w:rPr>
          <w:b/>
          <w:bCs/>
        </w:rPr>
        <w:t>.</w:t>
      </w:r>
      <w:r w:rsidR="00403B0E">
        <w:tab/>
      </w:r>
      <w:r w:rsidRPr="00A52C32">
        <w:rPr>
          <w:b/>
          <w:bCs/>
        </w:rPr>
        <w:t>Παράβαση υποχρεώσεων για τη διατήρηση τεχνικών χαρακτηριστικών και απαιτήσεων</w:t>
      </w:r>
      <w:r w:rsidR="002325D6" w:rsidRPr="002325D6">
        <w:rPr>
          <w:b/>
          <w:bCs/>
        </w:rPr>
        <w:t>:</w:t>
      </w:r>
      <w:r w:rsidRPr="004E7B57">
        <w:t xml:space="preserve"> </w:t>
      </w:r>
    </w:p>
    <w:p w14:paraId="3067E06F" w14:textId="699CE645" w:rsidR="00EE458B" w:rsidRPr="004E7B57" w:rsidRDefault="00EC7646" w:rsidP="00E67595">
      <w:pPr>
        <w:pStyle w:val="a4"/>
        <w:numPr>
          <w:ilvl w:val="0"/>
          <w:numId w:val="36"/>
        </w:numPr>
      </w:pPr>
      <w:r w:rsidRPr="004E7B57">
        <w:t>Σε περίπτωση</w:t>
      </w:r>
      <w:r w:rsidRPr="00A52C32">
        <w:rPr>
          <w:b/>
          <w:bCs/>
        </w:rPr>
        <w:t xml:space="preserve"> </w:t>
      </w:r>
      <w:r w:rsidR="00000BE7" w:rsidRPr="004E7B57">
        <w:t>μη τήρηση</w:t>
      </w:r>
      <w:r w:rsidRPr="004E7B57">
        <w:t>ς</w:t>
      </w:r>
      <w:r w:rsidR="00000BE7" w:rsidRPr="004E7B57">
        <w:t xml:space="preserve"> τ</w:t>
      </w:r>
      <w:r w:rsidRPr="004E7B57">
        <w:t xml:space="preserve">ων </w:t>
      </w:r>
      <w:r w:rsidR="000F5211">
        <w:t>υποχρεώσεων,</w:t>
      </w:r>
      <w:r w:rsidRPr="004E7B57">
        <w:t xml:space="preserve"> τεχνικών </w:t>
      </w:r>
      <w:r w:rsidR="000F5211">
        <w:t>προδιαγραφών και απαιτήσεων του άρθρου 1</w:t>
      </w:r>
      <w:r w:rsidR="000A082E">
        <w:t>5</w:t>
      </w:r>
      <w:r w:rsidR="000F5211">
        <w:t xml:space="preserve"> και</w:t>
      </w:r>
      <w:r w:rsidR="000F5211" w:rsidRPr="004E7B57">
        <w:t xml:space="preserve"> </w:t>
      </w:r>
      <w:r w:rsidR="008571B5" w:rsidRPr="004E7B57">
        <w:t xml:space="preserve">του </w:t>
      </w:r>
      <w:r w:rsidR="008571B5" w:rsidRPr="009B50C8">
        <w:t xml:space="preserve">Παραρτήματος Η, </w:t>
      </w:r>
      <w:r w:rsidRPr="009B50C8">
        <w:t xml:space="preserve">η </w:t>
      </w:r>
      <w:r w:rsidR="00CF21E9" w:rsidRPr="009B50C8">
        <w:t>Ρ.Α.Α.Ε.Υ.</w:t>
      </w:r>
      <w:r w:rsidRPr="009B50C8">
        <w:t>,</w:t>
      </w:r>
      <w:r w:rsidRPr="004E7B57">
        <w:t xml:space="preserve">  δύνανται </w:t>
      </w:r>
      <w:r w:rsidR="000F5211">
        <w:t xml:space="preserve">κατά την κρίση της </w:t>
      </w:r>
      <w:r w:rsidRPr="004E7B57">
        <w:t xml:space="preserve">να επιβάλει </w:t>
      </w:r>
      <w:r w:rsidR="000F5211">
        <w:t xml:space="preserve">μερική </w:t>
      </w:r>
      <w:r w:rsidR="00000BE7" w:rsidRPr="004E7B57">
        <w:t>κατάπτωση, υπέρ του ΥΛ Σ.Α.Η.Ε.,</w:t>
      </w:r>
      <w:r w:rsidRPr="004E7B57">
        <w:t xml:space="preserve"> της Εγγυητικής </w:t>
      </w:r>
      <w:r w:rsidR="00735BC1" w:rsidRPr="004E7B57">
        <w:t xml:space="preserve">Επιστολής </w:t>
      </w:r>
      <w:r w:rsidRPr="004E7B57">
        <w:t xml:space="preserve">Καλής Λειτουργίας. Σε περίπτωση </w:t>
      </w:r>
      <w:proofErr w:type="spellStart"/>
      <w:r w:rsidR="002377F0" w:rsidRPr="004E7B57">
        <w:t>κατ</w:t>
      </w:r>
      <w:proofErr w:type="spellEnd"/>
      <w:r w:rsidR="002377F0" w:rsidRPr="004E7B57">
        <w:t xml:space="preserve">΄ επανάληψη και καθ’ υποτροπήν </w:t>
      </w:r>
      <w:r w:rsidR="00735BC1" w:rsidRPr="004E7B57">
        <w:t xml:space="preserve">διαπίστωσης </w:t>
      </w:r>
      <w:r w:rsidRPr="004E7B57">
        <w:t xml:space="preserve">μη τήρησης των </w:t>
      </w:r>
      <w:r w:rsidR="000F5211">
        <w:t>ανωτέρω υποχρεώσεων και τεχνικών προδιαγραφών και απαιτήσεων</w:t>
      </w:r>
      <w:r w:rsidR="00735BC1" w:rsidRPr="004E7B57">
        <w:t xml:space="preserve">, </w:t>
      </w:r>
      <w:r w:rsidRPr="004E7B57">
        <w:t xml:space="preserve">η </w:t>
      </w:r>
      <w:r w:rsidR="00CF21E9" w:rsidRPr="004E7B57">
        <w:t>Ρ.Α.Α.Ε.Υ.</w:t>
      </w:r>
      <w:r w:rsidRPr="004E7B57">
        <w:t xml:space="preserve"> δύναται </w:t>
      </w:r>
      <w:r w:rsidR="00735BC1" w:rsidRPr="004E7B57">
        <w:t xml:space="preserve">κατά την κρίση της </w:t>
      </w:r>
      <w:r w:rsidRPr="004E7B57">
        <w:t xml:space="preserve">να επιβάλει την </w:t>
      </w:r>
      <w:proofErr w:type="spellStart"/>
      <w:r w:rsidR="00000BE7" w:rsidRPr="004E7B57">
        <w:t>απένταξη</w:t>
      </w:r>
      <w:proofErr w:type="spellEnd"/>
      <w:r w:rsidR="00000BE7" w:rsidRPr="004E7B57">
        <w:t xml:space="preserve"> του Σ.Α.Η.Ε. από το καθεστώς λειτουργικής ενίσχυσης </w:t>
      </w:r>
      <w:r w:rsidRPr="004E7B57">
        <w:t xml:space="preserve">και την ολική κατάπτωση της Εγγυητικής </w:t>
      </w:r>
      <w:r w:rsidR="00735BC1" w:rsidRPr="004E7B57">
        <w:t xml:space="preserve">Επιστολής </w:t>
      </w:r>
      <w:r w:rsidRPr="004E7B57">
        <w:t>Καλής Λειτουργίας</w:t>
      </w:r>
      <w:r w:rsidR="003716CD" w:rsidRPr="004E7B57">
        <w:t>.</w:t>
      </w:r>
    </w:p>
    <w:p w14:paraId="4D5E4001" w14:textId="6C0E44C0" w:rsidR="005253C3" w:rsidRPr="004E7B57" w:rsidRDefault="005253C3" w:rsidP="00E67595">
      <w:pPr>
        <w:pStyle w:val="a4"/>
        <w:numPr>
          <w:ilvl w:val="0"/>
          <w:numId w:val="36"/>
        </w:numPr>
      </w:pPr>
      <w:bookmarkStart w:id="19" w:name="_Hlk131538714"/>
      <w:r w:rsidRPr="004E7B57">
        <w:t xml:space="preserve">Για τις κατωτέρω προβλεπόμενες </w:t>
      </w:r>
      <w:r w:rsidRPr="00A52C32">
        <w:rPr>
          <w:u w:val="single"/>
        </w:rPr>
        <w:t>μεγάλου μεγέθους αποκλίσεις</w:t>
      </w:r>
      <w:r w:rsidRPr="004E7B57">
        <w:t xml:space="preserve"> των μεγεθών από τις ελάχιστες απαιτούμενες τιμές τους, καθώς και για αποκλίσεις από απαιτήσεις ασφάλειας των εγκαταστάσεων, η Ρ.Α.Α.Ε.Υ. δύναται να επιβάλλει πρόσθετες κυρώσεις, οι οποίες περιλαμβάνουν τη μερική ή πλήρη κατάπτωση της Εγγυητικής Επιστολής Καλής Λειτουργίας, την </w:t>
      </w:r>
      <w:proofErr w:type="spellStart"/>
      <w:r w:rsidRPr="004E7B57">
        <w:t>απένταξη</w:t>
      </w:r>
      <w:proofErr w:type="spellEnd"/>
      <w:r w:rsidRPr="004E7B57">
        <w:t xml:space="preserve"> του Σ.Α.Η.Ε. από το σχήμα στήριξης, με καταγγελία της Σύμβασης Λειτουργικής Ενίσχυσης Σ.Α.Η.Ε. από τον Διαχειριστή Α.Π.Ε. και Εγγυήσεων Προέλευσης, ή και άλλες κυρώσεις. Ως μεγάλου μεγέθους αποκλίσεις νοούνται μία ή περισσότερες από τις εξής αποκλίσεις:</w:t>
      </w:r>
    </w:p>
    <w:p w14:paraId="33CA557C" w14:textId="0EDB8A9F" w:rsidR="005253C3" w:rsidRPr="004E7B57" w:rsidRDefault="005253C3" w:rsidP="00E67595">
      <w:pPr>
        <w:pStyle w:val="a4"/>
        <w:numPr>
          <w:ilvl w:val="1"/>
          <w:numId w:val="37"/>
        </w:numPr>
        <w:ind w:left="1276"/>
      </w:pPr>
      <w:r w:rsidRPr="004E7B57">
        <w:t>η μέγιστη έγχυση ισχύος του Σ.Α.Η.Ε. υπολείπεται του 95% αυτής με την οποία ο Σ.Α.Η.Ε. εντάχθηκε σε καθεστώς ενίσχυσης,</w:t>
      </w:r>
    </w:p>
    <w:p w14:paraId="743E37D5" w14:textId="20D1598A" w:rsidR="005253C3" w:rsidRPr="004E7B57" w:rsidRDefault="005253C3" w:rsidP="00E67595">
      <w:pPr>
        <w:pStyle w:val="a4"/>
        <w:numPr>
          <w:ilvl w:val="1"/>
          <w:numId w:val="37"/>
        </w:numPr>
        <w:ind w:left="1276"/>
      </w:pPr>
      <w:r w:rsidRPr="004E7B57">
        <w:t>η εγγυημένη (ωφέλιμη) χωρητικότητα του Σ.Α.Η.Ε. υπολείπεται του 90% της ελάχιστης απαίτησης των Ανταγωνιστικών Διαδικασιών,</w:t>
      </w:r>
    </w:p>
    <w:p w14:paraId="11F0D2A7" w14:textId="2C94C14E" w:rsidR="005253C3" w:rsidRPr="00A52C32" w:rsidRDefault="005253C3" w:rsidP="00E67595">
      <w:pPr>
        <w:pStyle w:val="a4"/>
        <w:numPr>
          <w:ilvl w:val="1"/>
          <w:numId w:val="37"/>
        </w:numPr>
        <w:ind w:left="1276"/>
      </w:pPr>
      <w:r w:rsidRPr="004E7B57">
        <w:t xml:space="preserve">ο βαθμός απόδοσης πλήρους κύκλου φόρτισης – </w:t>
      </w:r>
      <w:proofErr w:type="spellStart"/>
      <w:r w:rsidRPr="004E7B57">
        <w:t>εκφόρτισης</w:t>
      </w:r>
      <w:proofErr w:type="spellEnd"/>
      <w:r w:rsidRPr="004E7B57">
        <w:t xml:space="preserve"> του Σ.Α.Η.Ε. υπολείπεται κατά πέντε (5) εκατοστιαίες μονάδες του απαιτούμενου, όπως ορίζεται </w:t>
      </w:r>
      <w:r w:rsidRPr="00A52C32">
        <w:t xml:space="preserve">στην παρ. </w:t>
      </w:r>
      <w:r w:rsidR="007D509F" w:rsidRPr="00A52C32">
        <w:t>15.</w:t>
      </w:r>
      <w:r w:rsidR="00F11CE9" w:rsidRPr="00A52C32">
        <w:t>2 (δ)</w:t>
      </w:r>
      <w:r w:rsidRPr="00A52C32">
        <w:t>,</w:t>
      </w:r>
    </w:p>
    <w:p w14:paraId="5ECE1646" w14:textId="2C10BCE4" w:rsidR="005253C3" w:rsidRPr="004E7B57" w:rsidRDefault="005253C3" w:rsidP="00E67595">
      <w:pPr>
        <w:pStyle w:val="a4"/>
        <w:numPr>
          <w:ilvl w:val="1"/>
          <w:numId w:val="37"/>
        </w:numPr>
        <w:ind w:left="1276"/>
      </w:pPr>
      <w:r w:rsidRPr="004E7B57">
        <w:t xml:space="preserve">η κατανάλωση ενέργειας σε κατάσταση </w:t>
      </w:r>
      <w:proofErr w:type="spellStart"/>
      <w:r w:rsidRPr="004E7B57">
        <w:t>stand-by</w:t>
      </w:r>
      <w:proofErr w:type="spellEnd"/>
      <w:r w:rsidRPr="004E7B57">
        <w:t xml:space="preserve"> είναι υψηλότερη του 25% της εγγυημένης χωρητικότητας του Ενισχυόμενου Σ.Α.Η.Ε.,</w:t>
      </w:r>
    </w:p>
    <w:p w14:paraId="7D4B0CCF" w14:textId="0B2C4CE3" w:rsidR="0033430B" w:rsidRPr="004E7B57" w:rsidRDefault="005253C3" w:rsidP="00E67595">
      <w:pPr>
        <w:pStyle w:val="a4"/>
        <w:numPr>
          <w:ilvl w:val="1"/>
          <w:numId w:val="37"/>
        </w:numPr>
        <w:ind w:left="1276"/>
      </w:pPr>
      <w:r w:rsidRPr="004E7B57">
        <w:t>η Διαθεσιμότητα Ισχύος του Σ.Α.Η.Ε. είναι μικρότερη του 89%.</w:t>
      </w:r>
    </w:p>
    <w:p w14:paraId="1A228C74" w14:textId="77777777" w:rsidR="00A52C32" w:rsidRDefault="00A52C32" w:rsidP="00E76414">
      <w:pPr>
        <w:rPr>
          <w:b/>
          <w:bCs/>
        </w:rPr>
      </w:pPr>
    </w:p>
    <w:p w14:paraId="0BCE7629" w14:textId="2D3A1FB0" w:rsidR="003A6C11" w:rsidRPr="002325D6" w:rsidRDefault="00417B88" w:rsidP="00E76414">
      <w:r w:rsidRPr="00881D1C">
        <w:rPr>
          <w:b/>
          <w:bCs/>
        </w:rPr>
        <w:t>1</w:t>
      </w:r>
      <w:r w:rsidR="00F11CE9">
        <w:rPr>
          <w:b/>
          <w:bCs/>
        </w:rPr>
        <w:t>6</w:t>
      </w:r>
      <w:r w:rsidRPr="00881D1C">
        <w:rPr>
          <w:b/>
          <w:bCs/>
        </w:rPr>
        <w:t>.</w:t>
      </w:r>
      <w:r w:rsidR="003A6C11" w:rsidRPr="00881D1C">
        <w:rPr>
          <w:b/>
          <w:bCs/>
        </w:rPr>
        <w:t>4.</w:t>
      </w:r>
      <w:r w:rsidR="003A6C11" w:rsidRPr="004E7B57">
        <w:t xml:space="preserve"> </w:t>
      </w:r>
      <w:r w:rsidR="003A6C11" w:rsidRPr="00A52C32">
        <w:rPr>
          <w:b/>
          <w:bCs/>
        </w:rPr>
        <w:t>Παράβαση υποχρεώσεων κατά τη λειτουργία στις Αγορές ηλεκτρικής ενέργειας</w:t>
      </w:r>
      <w:r w:rsidR="002325D6" w:rsidRPr="002325D6">
        <w:rPr>
          <w:b/>
          <w:bCs/>
        </w:rPr>
        <w:t>:</w:t>
      </w:r>
    </w:p>
    <w:p w14:paraId="6E30BA0A" w14:textId="1EBD385B" w:rsidR="003A6C11" w:rsidRPr="004E7B57" w:rsidRDefault="003A6C11" w:rsidP="00E67595">
      <w:pPr>
        <w:pStyle w:val="a4"/>
        <w:numPr>
          <w:ilvl w:val="0"/>
          <w:numId w:val="38"/>
        </w:numPr>
      </w:pPr>
      <w:r w:rsidRPr="004E7B57">
        <w:t>Σε περίπτωση</w:t>
      </w:r>
      <w:r w:rsidRPr="00A52C32">
        <w:rPr>
          <w:b/>
          <w:bCs/>
        </w:rPr>
        <w:t xml:space="preserve"> </w:t>
      </w:r>
      <w:r w:rsidRPr="004E7B57">
        <w:t xml:space="preserve">μη επιστροφής </w:t>
      </w:r>
      <w:r w:rsidR="00832258" w:rsidRPr="004E7B57">
        <w:t xml:space="preserve">οφειλόμενων </w:t>
      </w:r>
      <w:r w:rsidRPr="004E7B57">
        <w:t xml:space="preserve">ποσών λειτουργικής ενίσχυσης στον Διαχειριστή Α.Π.Ε. και Εγγυήσεων Προέλευσης /  ΥΛ Σ.Α.Η.Ε., </w:t>
      </w:r>
      <w:r w:rsidR="00832258" w:rsidRPr="004E7B57">
        <w:t xml:space="preserve">λόγω </w:t>
      </w:r>
      <w:proofErr w:type="spellStart"/>
      <w:r w:rsidRPr="004E7B57">
        <w:t>υπερανάκτησης</w:t>
      </w:r>
      <w:proofErr w:type="spellEnd"/>
      <w:r w:rsidRPr="004E7B57">
        <w:t xml:space="preserve"> του </w:t>
      </w:r>
      <w:r w:rsidR="00832258" w:rsidRPr="004E7B57">
        <w:t>Ε</w:t>
      </w:r>
      <w:r w:rsidRPr="004E7B57">
        <w:t xml:space="preserve">σόδου </w:t>
      </w:r>
      <w:r w:rsidR="00832258" w:rsidRPr="004E7B57">
        <w:t xml:space="preserve">Αναφοράς </w:t>
      </w:r>
      <w:r w:rsidRPr="004E7B57">
        <w:t>από τον Ενισχυόμενο Σ.Α.Η.Ε.</w:t>
      </w:r>
      <w:r w:rsidR="00832258" w:rsidRPr="004E7B57">
        <w:t>,</w:t>
      </w:r>
      <w:r w:rsidRPr="004E7B57">
        <w:t xml:space="preserve"> η Ρ.Α.Α.Ε.Υ. δύναται να προκαλέσει την ισόποση κατάπτωση της Εγγυητικής Επιστολής Καλής Λειτουργίας.</w:t>
      </w:r>
    </w:p>
    <w:p w14:paraId="312E1133" w14:textId="24006EDC" w:rsidR="00572336" w:rsidRPr="004E7B57" w:rsidRDefault="00572336" w:rsidP="00E67595">
      <w:pPr>
        <w:pStyle w:val="a4"/>
        <w:numPr>
          <w:ilvl w:val="0"/>
          <w:numId w:val="38"/>
        </w:numPr>
      </w:pPr>
      <w:r w:rsidRPr="004E7B57">
        <w:t>Σε κάθε περίπτωση π</w:t>
      </w:r>
      <w:r w:rsidR="003A6C11" w:rsidRPr="004E7B57">
        <w:t>αράβαση</w:t>
      </w:r>
      <w:r w:rsidRPr="004E7B57">
        <w:t>ς</w:t>
      </w:r>
      <w:r w:rsidR="003A6C11" w:rsidRPr="004E7B57">
        <w:t xml:space="preserve"> των υποχρεώσεων της </w:t>
      </w:r>
      <w:r w:rsidR="003A6C11" w:rsidRPr="00A52C32">
        <w:t>παρ. 1</w:t>
      </w:r>
      <w:r w:rsidR="009B1D18" w:rsidRPr="00A52C32">
        <w:t>5</w:t>
      </w:r>
      <w:r w:rsidR="003A6C11" w:rsidRPr="00A52C32">
        <w:t>.3</w:t>
      </w:r>
      <w:r w:rsidRPr="00A52C32">
        <w:t>,</w:t>
      </w:r>
      <w:r w:rsidRPr="004E7B57">
        <w:t xml:space="preserve"> η Ρ.Α.Α.Ε.Υ. δύναται να επιβάλλει κυρώσεις επιπλέον των </w:t>
      </w:r>
      <w:proofErr w:type="spellStart"/>
      <w:r w:rsidRPr="004E7B57">
        <w:t>οριζομένων</w:t>
      </w:r>
      <w:proofErr w:type="spellEnd"/>
      <w:r w:rsidRPr="004E7B57">
        <w:t xml:space="preserve"> στους Κανονισμούς των Αγορών, ενδεικτικά με την κατάπτωση, μερική ή ολική, των αντίστοιχων Εγγυητικών Επιστολών και την </w:t>
      </w:r>
      <w:proofErr w:type="spellStart"/>
      <w:r w:rsidRPr="004E7B57">
        <w:t>απένταξη</w:t>
      </w:r>
      <w:proofErr w:type="spellEnd"/>
      <w:r w:rsidRPr="004E7B57">
        <w:t xml:space="preserve"> </w:t>
      </w:r>
      <w:r w:rsidR="00284F85" w:rsidRPr="004E7B57">
        <w:t xml:space="preserve">του Σ.Α.Η.Ε. </w:t>
      </w:r>
      <w:r w:rsidRPr="004E7B57">
        <w:t xml:space="preserve">από το σχήμα στήριξης. </w:t>
      </w:r>
    </w:p>
    <w:p w14:paraId="46BFC981" w14:textId="10442BF2" w:rsidR="00572336" w:rsidRPr="004E7B57" w:rsidRDefault="00572336" w:rsidP="00E67595">
      <w:pPr>
        <w:pStyle w:val="a4"/>
        <w:numPr>
          <w:ilvl w:val="0"/>
          <w:numId w:val="38"/>
        </w:numPr>
      </w:pPr>
      <w:r w:rsidRPr="004E7B57">
        <w:t>Στην περίπτωση παράβασης των όρων της Άδειας Αποθήκευσης εφαρμόζονται οι διατάξεις του άρθρου 36 του ν. 4001/2011 (Α’ 179). Ειδικότερα, σε περίπτωση συστηματικής και κατ’ επανάληψη παραβίασης των υποχρεώσεων του Ενισχυόμενου Σ.Α.Η.Ε., η Ρ.Α.Α.Ε.Υ. δύναται να προβεί σε ανάκληση της Άδειας Αποθήκευσης</w:t>
      </w:r>
      <w:r w:rsidR="00284F85" w:rsidRPr="004E7B57">
        <w:t xml:space="preserve">. </w:t>
      </w:r>
      <w:r w:rsidRPr="004E7B57">
        <w:t xml:space="preserve">Σε περίπτωση ανάκλησης ή παύσης της ισχύος της Άδειας Αποθήκευσης, ανακαλούνται από τις αρμόδιες, κατά περίπτωση, Αρχές οι λοιπές </w:t>
      </w:r>
      <w:r w:rsidRPr="004E7B57">
        <w:lastRenderedPageBreak/>
        <w:t xml:space="preserve">άδειες και εγκρίσεις, καταπίπτουν στο σύνολό τους οι αντίστοιχες Εγγυητικές Επιστολές και ο Σ.Α.Η.Ε. </w:t>
      </w:r>
      <w:proofErr w:type="spellStart"/>
      <w:r w:rsidRPr="004E7B57">
        <w:t>απεντάσσεται</w:t>
      </w:r>
      <w:proofErr w:type="spellEnd"/>
      <w:r w:rsidRPr="004E7B57">
        <w:t xml:space="preserve"> από το σχήμα λειτουργικής ενίσχυσης.</w:t>
      </w:r>
    </w:p>
    <w:bookmarkEnd w:id="19"/>
    <w:p w14:paraId="6E05554F" w14:textId="77777777" w:rsidR="00A52C32" w:rsidRDefault="00A52C32" w:rsidP="00E76414">
      <w:pPr>
        <w:rPr>
          <w:b/>
          <w:bCs/>
        </w:rPr>
      </w:pPr>
    </w:p>
    <w:p w14:paraId="1C74D32F" w14:textId="225690FF" w:rsidR="001D031C" w:rsidRPr="004E7B57" w:rsidRDefault="001D031C" w:rsidP="00E76414">
      <w:r w:rsidRPr="00881D1C">
        <w:rPr>
          <w:b/>
          <w:bCs/>
        </w:rPr>
        <w:t>1</w:t>
      </w:r>
      <w:r w:rsidR="009B1D18">
        <w:rPr>
          <w:b/>
          <w:bCs/>
        </w:rPr>
        <w:t>6</w:t>
      </w:r>
      <w:r w:rsidRPr="00881D1C">
        <w:rPr>
          <w:b/>
          <w:bCs/>
        </w:rPr>
        <w:t>.</w:t>
      </w:r>
      <w:r w:rsidR="00284F85" w:rsidRPr="00881D1C">
        <w:rPr>
          <w:b/>
          <w:bCs/>
        </w:rPr>
        <w:t>5</w:t>
      </w:r>
      <w:r w:rsidRPr="00881D1C">
        <w:rPr>
          <w:b/>
          <w:bCs/>
        </w:rPr>
        <w:t>.</w:t>
      </w:r>
      <w:r w:rsidRPr="004E7B57">
        <w:t xml:space="preserve"> </w:t>
      </w:r>
      <w:r w:rsidRPr="00A52C32">
        <w:rPr>
          <w:b/>
          <w:bCs/>
        </w:rPr>
        <w:t>Παράβαση λοιπών υποχρεώσεων</w:t>
      </w:r>
      <w:r w:rsidR="00284F85" w:rsidRPr="00A52C32">
        <w:rPr>
          <w:b/>
          <w:bCs/>
        </w:rPr>
        <w:t>:</w:t>
      </w:r>
    </w:p>
    <w:p w14:paraId="4AD1F55E" w14:textId="0D1C2C58" w:rsidR="00AD6F93" w:rsidRPr="00A52C32" w:rsidRDefault="00284F85" w:rsidP="00E67595">
      <w:pPr>
        <w:pStyle w:val="a4"/>
        <w:numPr>
          <w:ilvl w:val="0"/>
          <w:numId w:val="39"/>
        </w:numPr>
        <w:rPr>
          <w:b/>
          <w:bCs/>
        </w:rPr>
      </w:pPr>
      <w:r w:rsidRPr="009B1D18">
        <w:t xml:space="preserve">Σε περίπτωση διαπίστωσης παράβασης </w:t>
      </w:r>
      <w:r w:rsidRPr="00A52C32">
        <w:t>της παρ. 1</w:t>
      </w:r>
      <w:r w:rsidR="009B1D18" w:rsidRPr="00A52C32">
        <w:t>5</w:t>
      </w:r>
      <w:r w:rsidRPr="00A52C32">
        <w:t>.</w:t>
      </w:r>
      <w:r w:rsidR="009B1D18" w:rsidRPr="00A52C32">
        <w:t>7</w:t>
      </w:r>
      <w:r w:rsidRPr="009B1D18">
        <w:t xml:space="preserve"> από οποιονδήποτε </w:t>
      </w:r>
      <w:r w:rsidR="00832258" w:rsidRPr="009B1D18">
        <w:t>Κ</w:t>
      </w:r>
      <w:r w:rsidRPr="009B1D18">
        <w:t>άτοχο Ενισχυόμενων Σ.Α.Η.Ε. καταπίπτει στο σύνολό της η αντίστοιχη Εγγυητική Επιστολή (Έγκαιρης και Έντεχνης Εκτέλεσης ή Καλής Λειτουργίας</w:t>
      </w:r>
      <w:r w:rsidR="00575BE5" w:rsidRPr="009B1D18">
        <w:t>)</w:t>
      </w:r>
      <w:r w:rsidRPr="009B1D18">
        <w:t xml:space="preserve">, κατά περίπτωση για όλους τους Ενισχυόμενους Σ.Α.Η.Ε. του εν λόγω </w:t>
      </w:r>
      <w:r w:rsidR="00832258" w:rsidRPr="009B1D18">
        <w:t>Κ</w:t>
      </w:r>
      <w:r w:rsidRPr="009B1D18">
        <w:t xml:space="preserve">ατόχου, οι οποίοι και </w:t>
      </w:r>
      <w:proofErr w:type="spellStart"/>
      <w:r w:rsidRPr="009B1D18">
        <w:t>απεντάσσονται</w:t>
      </w:r>
      <w:proofErr w:type="spellEnd"/>
      <w:r w:rsidRPr="009B1D18">
        <w:t xml:space="preserve"> από το σχήμα ενίσχυσης.</w:t>
      </w:r>
      <w:r w:rsidRPr="00A52C32" w:rsidDel="003A6C11">
        <w:rPr>
          <w:b/>
          <w:bCs/>
        </w:rPr>
        <w:t xml:space="preserve"> </w:t>
      </w:r>
    </w:p>
    <w:p w14:paraId="5CFA863D" w14:textId="5DC39A46" w:rsidR="00393E05" w:rsidRDefault="00D357B3" w:rsidP="00E67595">
      <w:pPr>
        <w:pStyle w:val="a4"/>
        <w:numPr>
          <w:ilvl w:val="0"/>
          <w:numId w:val="39"/>
        </w:numPr>
      </w:pPr>
      <w:r w:rsidRPr="009B1D18">
        <w:t xml:space="preserve">Σε περίπτωση </w:t>
      </w:r>
      <w:r w:rsidR="00D57566">
        <w:t>παροχής ψευδών</w:t>
      </w:r>
      <w:r w:rsidRPr="00A52C32">
        <w:t xml:space="preserve"> </w:t>
      </w:r>
      <w:r w:rsidR="009B1D18" w:rsidRPr="00A52C32">
        <w:t>Υ</w:t>
      </w:r>
      <w:r w:rsidRPr="00A52C32">
        <w:t>πευθύνων δηλώσεων</w:t>
      </w:r>
      <w:r w:rsidRPr="009B1D18">
        <w:t xml:space="preserve"> </w:t>
      </w:r>
      <w:r w:rsidR="00D57566">
        <w:t xml:space="preserve">σύμφωνα με τα </w:t>
      </w:r>
      <w:proofErr w:type="spellStart"/>
      <w:r w:rsidR="002325D6" w:rsidRPr="009B1D18">
        <w:t>Παραρτημάτ</w:t>
      </w:r>
      <w:r w:rsidR="00A474DE">
        <w:t>α</w:t>
      </w:r>
      <w:proofErr w:type="spellEnd"/>
      <w:r w:rsidRPr="009B1D18">
        <w:t xml:space="preserve"> </w:t>
      </w:r>
      <w:r w:rsidR="00A52C32">
        <w:t>Β</w:t>
      </w:r>
      <w:r w:rsidR="009B1D18" w:rsidRPr="009B1D18">
        <w:t xml:space="preserve"> και Θ</w:t>
      </w:r>
      <w:r w:rsidRPr="009B1D18">
        <w:t xml:space="preserve">, η </w:t>
      </w:r>
      <w:r w:rsidR="00CF21E9" w:rsidRPr="009B1D18">
        <w:t>Ρ.Α.Α.Ε.Υ.</w:t>
      </w:r>
      <w:r w:rsidRPr="009B1D18">
        <w:t xml:space="preserve"> δύναται να επιβάλει, κατά περίπτωση, τη μερική ή και την ολική κατάπτωση της </w:t>
      </w:r>
      <w:r w:rsidR="002325D6">
        <w:t>αντίστοιχης Εγγυητικής Επιστολής</w:t>
      </w:r>
      <w:r w:rsidRPr="009B1D18">
        <w:t xml:space="preserve"> και την </w:t>
      </w:r>
      <w:proofErr w:type="spellStart"/>
      <w:r w:rsidRPr="009B1D18">
        <w:t>απένταξη</w:t>
      </w:r>
      <w:proofErr w:type="spellEnd"/>
      <w:r w:rsidRPr="009B1D18">
        <w:t xml:space="preserve"> του Σ.Α.Η.Ε. από το καθεστώς λειτουργικής ενίσχυσης.</w:t>
      </w:r>
    </w:p>
    <w:p w14:paraId="5E51BD07" w14:textId="77777777" w:rsidR="00A52C32" w:rsidRDefault="00A52C32" w:rsidP="00E76414"/>
    <w:p w14:paraId="26C5445F" w14:textId="3827189A" w:rsidR="002325D6" w:rsidRPr="002325D6" w:rsidRDefault="00FB5CD5" w:rsidP="002325D6">
      <w:pPr>
        <w:rPr>
          <w:b/>
          <w:bCs/>
        </w:rPr>
      </w:pPr>
      <w:r w:rsidRPr="00FB5CD5">
        <w:rPr>
          <w:b/>
          <w:bCs/>
        </w:rPr>
        <w:t>1</w:t>
      </w:r>
      <w:r w:rsidR="009B1D18">
        <w:rPr>
          <w:b/>
          <w:bCs/>
        </w:rPr>
        <w:t>6</w:t>
      </w:r>
      <w:r w:rsidRPr="00FB5CD5">
        <w:rPr>
          <w:b/>
          <w:bCs/>
        </w:rPr>
        <w:t>.6.</w:t>
      </w:r>
      <w:r>
        <w:rPr>
          <w:b/>
          <w:bCs/>
        </w:rPr>
        <w:t xml:space="preserve"> </w:t>
      </w:r>
      <w:r w:rsidRPr="00A52C32">
        <w:rPr>
          <w:b/>
          <w:bCs/>
        </w:rPr>
        <w:t>Απόρριψη αιτήματος τροποποίησης ή κατάτμησης Άδειας Αποθήκευσης</w:t>
      </w:r>
      <w:r w:rsidR="002325D6" w:rsidRPr="002325D6">
        <w:rPr>
          <w:b/>
          <w:bCs/>
        </w:rPr>
        <w:t>:</w:t>
      </w:r>
    </w:p>
    <w:p w14:paraId="79C39A2F" w14:textId="413D2724" w:rsidR="00FB5CD5" w:rsidRPr="004E7B57" w:rsidRDefault="00FB5CD5" w:rsidP="00E76414">
      <w:proofErr w:type="spellStart"/>
      <w:r w:rsidRPr="00FB0DBF">
        <w:t>Απένταξη</w:t>
      </w:r>
      <w:proofErr w:type="spellEnd"/>
      <w:r w:rsidRPr="00FB0DBF">
        <w:t xml:space="preserve"> Επιλεγέντων Συμμετεχόντων δύναται να προκληθεί και από απόρριψη του αιτήματος κατάτμησης ή τροποποίησης της ισχύουσας Άδειας Αποθήκευσης του Σ.Α.Η.Ε. από τη Ρ.Α.Α.Ε.Υ., το οποίο κατατίθεται με την «Αίτηση Συμμετοχής - Δικαιολογητικά Συμμετοχής», σύμφωνα με τα οριζόμενα στην παρ. </w:t>
      </w:r>
      <w:r w:rsidRPr="00F211E1">
        <w:t>11.</w:t>
      </w:r>
      <w:r w:rsidR="002325D6" w:rsidRPr="00D127FB">
        <w:t>2</w:t>
      </w:r>
      <w:r w:rsidRPr="00F211E1">
        <w:t>.</w:t>
      </w:r>
      <w:r w:rsidRPr="00FB5CD5">
        <w:t>1.(</w:t>
      </w:r>
      <w:r>
        <w:t>γ)</w:t>
      </w:r>
      <w:r w:rsidRPr="00FB0DBF">
        <w:t xml:space="preserve"> </w:t>
      </w:r>
    </w:p>
    <w:p w14:paraId="1A696B36" w14:textId="4430B143" w:rsidR="000546D5" w:rsidRPr="00D127FB" w:rsidRDefault="00856EDC" w:rsidP="00D127FB">
      <w:pPr>
        <w:jc w:val="center"/>
        <w:rPr>
          <w:b/>
          <w:bCs/>
        </w:rPr>
      </w:pPr>
      <w:r w:rsidRPr="00D127FB">
        <w:rPr>
          <w:b/>
          <w:bCs/>
        </w:rPr>
        <w:t xml:space="preserve">Άρθρο </w:t>
      </w:r>
      <w:r w:rsidR="006E1EDD" w:rsidRPr="00D127FB">
        <w:rPr>
          <w:b/>
          <w:bCs/>
        </w:rPr>
        <w:t>1</w:t>
      </w:r>
      <w:r w:rsidR="009B1D18" w:rsidRPr="00D127FB">
        <w:rPr>
          <w:b/>
          <w:bCs/>
        </w:rPr>
        <w:t>7</w:t>
      </w:r>
    </w:p>
    <w:p w14:paraId="5942B03C" w14:textId="7E10A99A" w:rsidR="000546D5" w:rsidRPr="00D127FB" w:rsidRDefault="00856EDC" w:rsidP="00D127FB">
      <w:pPr>
        <w:jc w:val="center"/>
        <w:rPr>
          <w:b/>
          <w:bCs/>
        </w:rPr>
      </w:pPr>
      <w:r w:rsidRPr="00D127FB">
        <w:rPr>
          <w:b/>
          <w:bCs/>
        </w:rPr>
        <w:t>Ματαίωση</w:t>
      </w:r>
      <w:r w:rsidR="00D127FB" w:rsidRPr="00D127FB">
        <w:rPr>
          <w:b/>
          <w:bCs/>
        </w:rPr>
        <w:t xml:space="preserve">, </w:t>
      </w:r>
      <w:r w:rsidRPr="00D127FB">
        <w:rPr>
          <w:b/>
          <w:bCs/>
        </w:rPr>
        <w:t xml:space="preserve"> αναβολή </w:t>
      </w:r>
      <w:r w:rsidR="00D127FB">
        <w:rPr>
          <w:b/>
          <w:bCs/>
        </w:rPr>
        <w:t xml:space="preserve">και κήρυξη άγονης </w:t>
      </w:r>
      <w:r w:rsidRPr="00D127FB">
        <w:rPr>
          <w:b/>
          <w:bCs/>
        </w:rPr>
        <w:t>της Ανταγωνιστικής Διαδικασίας - Παράταση προθεσμιών</w:t>
      </w:r>
    </w:p>
    <w:p w14:paraId="69E55575" w14:textId="77777777" w:rsidR="00380349" w:rsidRPr="004E7B57" w:rsidRDefault="00380349" w:rsidP="00E76414"/>
    <w:p w14:paraId="6E6FE1C9" w14:textId="7D42C805" w:rsidR="000546D5" w:rsidRPr="004E7B57" w:rsidRDefault="00AA1000" w:rsidP="00E76414">
      <w:r w:rsidRPr="004E7B57">
        <w:rPr>
          <w:b/>
          <w:bCs/>
        </w:rPr>
        <w:t>1</w:t>
      </w:r>
      <w:r w:rsidR="009B1D18">
        <w:rPr>
          <w:b/>
          <w:bCs/>
        </w:rPr>
        <w:t>7</w:t>
      </w:r>
      <w:r w:rsidRPr="004E7B57">
        <w:rPr>
          <w:b/>
          <w:bCs/>
        </w:rPr>
        <w:t>.1.</w:t>
      </w:r>
      <w:r w:rsidRPr="004E7B57">
        <w:t xml:space="preserve"> </w:t>
      </w:r>
      <w:r w:rsidR="00856EDC" w:rsidRPr="004E7B57">
        <w:t xml:space="preserve">Η </w:t>
      </w:r>
      <w:r w:rsidR="00CF21E9" w:rsidRPr="004E7B57">
        <w:t>Ρ.Α.Α.Ε.Υ.</w:t>
      </w:r>
      <w:r w:rsidR="00856EDC" w:rsidRPr="004E7B57">
        <w:t xml:space="preserve"> δύναται να αναβάλει ή να ματαιώσει την Ανταγωνιστική Διαδικασία σε οποιοδήποτε στάδιο με ειδικά αιτιολογημένη απόφαση:</w:t>
      </w:r>
    </w:p>
    <w:p w14:paraId="5535BCC0" w14:textId="49353B4E" w:rsidR="000546D5" w:rsidRPr="004E7B57" w:rsidRDefault="00856EDC" w:rsidP="00E67595">
      <w:pPr>
        <w:pStyle w:val="a4"/>
        <w:numPr>
          <w:ilvl w:val="0"/>
          <w:numId w:val="40"/>
        </w:numPr>
      </w:pPr>
      <w:r w:rsidRPr="004E7B57">
        <w:t>Για ειδικούς λόγους δημοσίου συμφέροντος ή ανωτέρας βίας ή παραβίασης των κανόνων του δικαίου του ανταγωνισμού.</w:t>
      </w:r>
    </w:p>
    <w:p w14:paraId="0996FEC6" w14:textId="5E028AD3" w:rsidR="000546D5" w:rsidRPr="004E7B57" w:rsidRDefault="00856EDC" w:rsidP="00E67595">
      <w:pPr>
        <w:pStyle w:val="a4"/>
        <w:numPr>
          <w:ilvl w:val="0"/>
          <w:numId w:val="40"/>
        </w:numPr>
      </w:pPr>
      <w:r w:rsidRPr="004E7B57">
        <w:t>Αν διαπιστωθούν σφάλματα ή παραλείψεις σε οποιοδήποτε στάδιο της διαδικασίας,</w:t>
      </w:r>
      <w:r w:rsidR="00F03666" w:rsidRPr="004E7B57">
        <w:t xml:space="preserve"> </w:t>
      </w:r>
      <w:r w:rsidRPr="004E7B57">
        <w:t>που καθιστούν επισφαλή τη συνέχισή της.</w:t>
      </w:r>
    </w:p>
    <w:p w14:paraId="00B8B06D" w14:textId="58573B69" w:rsidR="000546D5" w:rsidRPr="001B4B05" w:rsidRDefault="00856EDC" w:rsidP="00E67595">
      <w:pPr>
        <w:pStyle w:val="a4"/>
        <w:numPr>
          <w:ilvl w:val="0"/>
          <w:numId w:val="40"/>
        </w:numPr>
      </w:pPr>
      <w:r w:rsidRPr="004E7B57">
        <w:t xml:space="preserve">Στην περίπτωση που η Ανταγωνιστική Διαδικασία αποβεί άγονη βάσει των προβλέψεων </w:t>
      </w:r>
      <w:r w:rsidR="00987DD8" w:rsidRPr="004E7B57">
        <w:t xml:space="preserve">της </w:t>
      </w:r>
      <w:r w:rsidR="00987DD8" w:rsidRPr="001B4B05">
        <w:t>παρ. 7.</w:t>
      </w:r>
      <w:r w:rsidR="000D19AF" w:rsidRPr="001B4B05">
        <w:t>2(β)</w:t>
      </w:r>
      <w:r w:rsidRPr="001B4B05">
        <w:t>.</w:t>
      </w:r>
    </w:p>
    <w:p w14:paraId="6E7A5C5C" w14:textId="77777777" w:rsidR="00A52C32" w:rsidRDefault="00A52C32" w:rsidP="00E76414">
      <w:pPr>
        <w:rPr>
          <w:b/>
          <w:bCs/>
        </w:rPr>
      </w:pPr>
    </w:p>
    <w:p w14:paraId="4854E571" w14:textId="5D284F62" w:rsidR="000546D5" w:rsidRPr="004E7B57" w:rsidRDefault="00AA1000" w:rsidP="00E76414">
      <w:r w:rsidRPr="004E7B57">
        <w:rPr>
          <w:b/>
          <w:bCs/>
        </w:rPr>
        <w:t>1</w:t>
      </w:r>
      <w:r w:rsidR="009B1D18">
        <w:rPr>
          <w:b/>
          <w:bCs/>
        </w:rPr>
        <w:t>7</w:t>
      </w:r>
      <w:r w:rsidRPr="004E7B57">
        <w:rPr>
          <w:b/>
          <w:bCs/>
        </w:rPr>
        <w:t>.2.</w:t>
      </w:r>
      <w:r w:rsidRPr="004E7B57">
        <w:t xml:space="preserve"> </w:t>
      </w:r>
      <w:r w:rsidR="00856EDC" w:rsidRPr="004E7B57">
        <w:t>Σε περίπτωση που η Ανταγωνιστική Διαδικασία ματαιωθεί ή κηρυχθεί άγονη, τότε επιστρέφονται το Τέλος Συμμετοχής και η Εγγυητική Επιστολή Συμμετοχής σε κάθε Συμμετέχοντα.</w:t>
      </w:r>
    </w:p>
    <w:p w14:paraId="20E8A405" w14:textId="77777777" w:rsidR="00A52C32" w:rsidRDefault="00A52C32" w:rsidP="00E76414">
      <w:pPr>
        <w:rPr>
          <w:b/>
          <w:bCs/>
        </w:rPr>
      </w:pPr>
    </w:p>
    <w:p w14:paraId="348BCFE7" w14:textId="5629BBBC" w:rsidR="000546D5" w:rsidRPr="004E7B57" w:rsidRDefault="00AA1000" w:rsidP="00E76414">
      <w:r w:rsidRPr="004E7B57">
        <w:rPr>
          <w:b/>
          <w:bCs/>
        </w:rPr>
        <w:t>1</w:t>
      </w:r>
      <w:r w:rsidR="009B1D18">
        <w:rPr>
          <w:b/>
          <w:bCs/>
        </w:rPr>
        <w:t>7</w:t>
      </w:r>
      <w:r w:rsidRPr="004E7B57">
        <w:rPr>
          <w:b/>
          <w:bCs/>
        </w:rPr>
        <w:t>.3.</w:t>
      </w:r>
      <w:r w:rsidRPr="004E7B57">
        <w:t xml:space="preserve"> </w:t>
      </w:r>
      <w:r w:rsidR="00856EDC" w:rsidRPr="004E7B57">
        <w:t xml:space="preserve">Σε περίπτωση που αναβληθεί η Ανταγωνιστική διαδικασία, τότε δεν επιστρέφονται το Τέλος Συμμετοχής και η Εγγυητική Επιστολή Συμμετοχής, με την επιφύλαξη των οριζόμενων στην </w:t>
      </w:r>
      <w:r w:rsidR="00856EDC" w:rsidRPr="000D19AF">
        <w:t>παρ.</w:t>
      </w:r>
      <w:r w:rsidR="006E1EDD" w:rsidRPr="000D19AF">
        <w:t xml:space="preserve"> </w:t>
      </w:r>
      <w:r w:rsidR="00987DD8" w:rsidRPr="000D19AF">
        <w:t>7.2</w:t>
      </w:r>
      <w:r w:rsidR="000D19AF" w:rsidRPr="000D19AF">
        <w:t>(β)</w:t>
      </w:r>
      <w:r w:rsidR="006E1EDD" w:rsidRPr="004E7B57">
        <w:t xml:space="preserve"> </w:t>
      </w:r>
      <w:r w:rsidR="00856EDC" w:rsidRPr="004E7B57">
        <w:t>για την αναβολή της διενέργειας της Ανταγωνιστικής Διαδικασίας και προσδιορίζεται νέα ημερομηνία διενέργειας της Ανταγωνιστικής Διαδικασίας.</w:t>
      </w:r>
    </w:p>
    <w:p w14:paraId="66B78124" w14:textId="77777777" w:rsidR="00A52C32" w:rsidRDefault="00A52C32" w:rsidP="00E76414">
      <w:pPr>
        <w:rPr>
          <w:b/>
          <w:bCs/>
        </w:rPr>
      </w:pPr>
    </w:p>
    <w:p w14:paraId="72B3A80F" w14:textId="17E92830" w:rsidR="000546D5" w:rsidRPr="004E7B57" w:rsidRDefault="00856EDC" w:rsidP="00E76414">
      <w:r w:rsidRPr="004E7B57">
        <w:rPr>
          <w:b/>
          <w:bCs/>
        </w:rPr>
        <w:t>1</w:t>
      </w:r>
      <w:r w:rsidR="009B1D18">
        <w:rPr>
          <w:b/>
          <w:bCs/>
        </w:rPr>
        <w:t>7</w:t>
      </w:r>
      <w:r w:rsidRPr="004E7B57">
        <w:rPr>
          <w:b/>
          <w:bCs/>
        </w:rPr>
        <w:t>.4.</w:t>
      </w:r>
      <w:r w:rsidRPr="004E7B57">
        <w:t xml:space="preserve"> Αναλόγως του αριθμού των Αιτήσεων Συμμετοχής που θα υποβληθούν, η </w:t>
      </w:r>
      <w:r w:rsidR="00CF21E9" w:rsidRPr="004E7B57">
        <w:t>Ρ.Α.Α.Ε.Υ.</w:t>
      </w:r>
      <w:r w:rsidRPr="004E7B57">
        <w:t xml:space="preserve"> δύναται με απόφασή της να παρατείνει τον χρόνο ηλεκτρονικής υποβολής Αιτήσεων Συμμετοχής, καθώς και το χρόνο αξιολόγησης των Αιτήσεων Συμμετοχής.</w:t>
      </w:r>
    </w:p>
    <w:p w14:paraId="71432ACD" w14:textId="77777777" w:rsidR="000546D5" w:rsidRDefault="000546D5" w:rsidP="00E76414">
      <w:pPr>
        <w:pStyle w:val="a3"/>
      </w:pPr>
    </w:p>
    <w:p w14:paraId="67D476BC" w14:textId="77777777" w:rsidR="00413129" w:rsidRDefault="00413129" w:rsidP="00E76414">
      <w:pPr>
        <w:pStyle w:val="a3"/>
      </w:pPr>
    </w:p>
    <w:p w14:paraId="0CA0ABE8" w14:textId="626897AC" w:rsidR="005C79E5" w:rsidRPr="001B4B05" w:rsidRDefault="00856EDC" w:rsidP="001B4B05">
      <w:pPr>
        <w:jc w:val="center"/>
        <w:rPr>
          <w:b/>
          <w:bCs/>
        </w:rPr>
      </w:pPr>
      <w:r w:rsidRPr="001B4B05">
        <w:rPr>
          <w:b/>
          <w:bCs/>
        </w:rPr>
        <w:lastRenderedPageBreak/>
        <w:t xml:space="preserve">Άρθρο </w:t>
      </w:r>
      <w:r w:rsidR="006E1EDD" w:rsidRPr="001B4B05">
        <w:rPr>
          <w:b/>
          <w:bCs/>
        </w:rPr>
        <w:t>1</w:t>
      </w:r>
      <w:r w:rsidR="00DB1F90" w:rsidRPr="001B4B05">
        <w:rPr>
          <w:b/>
          <w:bCs/>
        </w:rPr>
        <w:t>8</w:t>
      </w:r>
    </w:p>
    <w:p w14:paraId="360DD2FD" w14:textId="77777777" w:rsidR="000546D5" w:rsidRPr="001B4B05" w:rsidRDefault="00856EDC" w:rsidP="001B4B05">
      <w:pPr>
        <w:jc w:val="center"/>
        <w:rPr>
          <w:b/>
          <w:bCs/>
        </w:rPr>
      </w:pPr>
      <w:r w:rsidRPr="001B4B05">
        <w:rPr>
          <w:b/>
          <w:bCs/>
        </w:rPr>
        <w:t>Δημοσίευση της Προκήρυξης</w:t>
      </w:r>
    </w:p>
    <w:p w14:paraId="58A9CDD6" w14:textId="77777777" w:rsidR="006E1EDD" w:rsidRPr="004E7B57" w:rsidRDefault="006E1EDD" w:rsidP="00E76414"/>
    <w:p w14:paraId="65E82F72" w14:textId="2F7F987F" w:rsidR="000546D5" w:rsidRPr="001B4B05" w:rsidRDefault="00856EDC" w:rsidP="00E76414">
      <w:pPr>
        <w:pStyle w:val="a3"/>
        <w:rPr>
          <w:sz w:val="22"/>
          <w:szCs w:val="22"/>
        </w:rPr>
      </w:pPr>
      <w:r w:rsidRPr="001B4B05">
        <w:rPr>
          <w:sz w:val="22"/>
          <w:szCs w:val="22"/>
        </w:rPr>
        <w:t xml:space="preserve">Η παρούσα Προκήρυξη, μαζί με τα Παραρτήματά της θα αναρτηθεί στην ιστοσελίδα της </w:t>
      </w:r>
      <w:r w:rsidR="00CF21E9" w:rsidRPr="001B4B05">
        <w:rPr>
          <w:sz w:val="22"/>
          <w:szCs w:val="22"/>
        </w:rPr>
        <w:t>Ρ.Α.Α.Ε.Υ.</w:t>
      </w:r>
      <w:r w:rsidRPr="001B4B05">
        <w:rPr>
          <w:sz w:val="22"/>
          <w:szCs w:val="22"/>
        </w:rPr>
        <w:t xml:space="preserve"> και θα δημοσιευτεί στην Εφημερίδα της Κυβέρνησης και στη Διαύγεια.</w:t>
      </w:r>
    </w:p>
    <w:p w14:paraId="17712446" w14:textId="77777777" w:rsidR="000546D5" w:rsidRPr="004E7B57" w:rsidRDefault="000546D5" w:rsidP="00E76414">
      <w:pPr>
        <w:pStyle w:val="a3"/>
      </w:pPr>
    </w:p>
    <w:p w14:paraId="6A894E92" w14:textId="77777777" w:rsidR="000546D5" w:rsidRPr="004E7B57" w:rsidRDefault="000546D5" w:rsidP="00E76414">
      <w:pPr>
        <w:pStyle w:val="a3"/>
      </w:pPr>
    </w:p>
    <w:p w14:paraId="30981945" w14:textId="3723F804" w:rsidR="000546D5" w:rsidRDefault="00856EDC" w:rsidP="009B1D18">
      <w:pPr>
        <w:jc w:val="right"/>
      </w:pPr>
      <w:r w:rsidRPr="004E7B57">
        <w:t>Αθήνα</w:t>
      </w:r>
      <w:r w:rsidRPr="001B4B05">
        <w:rPr>
          <w:shd w:val="clear" w:color="auto" w:fill="FFFFFF" w:themeFill="background1"/>
        </w:rPr>
        <w:t xml:space="preserve">, </w:t>
      </w:r>
      <w:r w:rsidR="001B4B05" w:rsidRPr="001B4B05">
        <w:rPr>
          <w:shd w:val="clear" w:color="auto" w:fill="FFFFFF" w:themeFill="background1"/>
        </w:rPr>
        <w:t>16/06</w:t>
      </w:r>
      <w:r w:rsidRPr="001B4B05">
        <w:rPr>
          <w:shd w:val="clear" w:color="auto" w:fill="FFFFFF" w:themeFill="background1"/>
        </w:rPr>
        <w:t>/202</w:t>
      </w:r>
      <w:r w:rsidR="008048DF" w:rsidRPr="001B4B05">
        <w:rPr>
          <w:shd w:val="clear" w:color="auto" w:fill="FFFFFF" w:themeFill="background1"/>
        </w:rPr>
        <w:t>3</w:t>
      </w:r>
    </w:p>
    <w:p w14:paraId="51FF9DA1" w14:textId="77777777" w:rsidR="00881D1C" w:rsidRDefault="00881D1C" w:rsidP="00881D1C"/>
    <w:p w14:paraId="7951D683" w14:textId="77777777" w:rsidR="00881D1C" w:rsidRPr="009F4B4C" w:rsidRDefault="00881D1C" w:rsidP="00881D1C">
      <w:pPr>
        <w:sectPr w:rsidR="00881D1C" w:rsidRPr="009F4B4C" w:rsidSect="003212AB">
          <w:footerReference w:type="default" r:id="rId21"/>
          <w:type w:val="continuous"/>
          <w:pgSz w:w="11906" w:h="16838" w:code="9"/>
          <w:pgMar w:top="1760" w:right="940" w:bottom="1040" w:left="1040" w:header="747" w:footer="791" w:gutter="0"/>
          <w:cols w:space="720"/>
          <w:docGrid w:linePitch="299"/>
        </w:sectPr>
      </w:pPr>
    </w:p>
    <w:p w14:paraId="30BDF980" w14:textId="2A2F3B8A" w:rsidR="009B1D18" w:rsidRDefault="009B1D18">
      <w:pPr>
        <w:tabs>
          <w:tab w:val="clear" w:pos="1189"/>
        </w:tabs>
        <w:spacing w:after="0" w:line="240" w:lineRule="auto"/>
        <w:ind w:right="0"/>
        <w:jc w:val="left"/>
      </w:pPr>
      <w:r>
        <w:br w:type="page"/>
      </w:r>
    </w:p>
    <w:p w14:paraId="375FDE39" w14:textId="2F357E2F" w:rsidR="000546D5" w:rsidRPr="001B4B05" w:rsidRDefault="0053610E" w:rsidP="001B4B05">
      <w:pPr>
        <w:jc w:val="center"/>
        <w:rPr>
          <w:b/>
          <w:bCs/>
          <w:sz w:val="28"/>
          <w:szCs w:val="28"/>
        </w:rPr>
      </w:pPr>
      <w:r w:rsidRPr="001B4B05">
        <w:rPr>
          <w:b/>
          <w:bCs/>
          <w:sz w:val="28"/>
          <w:szCs w:val="28"/>
        </w:rPr>
        <w:lastRenderedPageBreak/>
        <w:t>Π</w:t>
      </w:r>
      <w:r w:rsidR="00856EDC" w:rsidRPr="001B4B05">
        <w:rPr>
          <w:b/>
          <w:bCs/>
          <w:sz w:val="28"/>
          <w:szCs w:val="28"/>
        </w:rPr>
        <w:t>ΑΡΑΡΤΗΜΑΤΑ</w:t>
      </w:r>
    </w:p>
    <w:p w14:paraId="08812C60" w14:textId="77777777" w:rsidR="000546D5" w:rsidRPr="004E7B57" w:rsidRDefault="000546D5" w:rsidP="00E76414">
      <w:pPr>
        <w:pStyle w:val="a3"/>
      </w:pPr>
    </w:p>
    <w:p w14:paraId="5E900E74" w14:textId="77777777" w:rsidR="000546D5" w:rsidRPr="004E7B57" w:rsidRDefault="00856EDC" w:rsidP="00881D1C">
      <w:pPr>
        <w:pStyle w:val="20"/>
      </w:pPr>
      <w:r w:rsidRPr="004E7B57">
        <w:t>ΠΑΡΑΡΤΗΜΑ Α</w:t>
      </w:r>
    </w:p>
    <w:p w14:paraId="65117F24" w14:textId="77777777" w:rsidR="000D19AF" w:rsidRDefault="000D19AF" w:rsidP="00E76414"/>
    <w:p w14:paraId="57875F17" w14:textId="741F050B" w:rsidR="000546D5" w:rsidRPr="004E7B57" w:rsidRDefault="00856EDC" w:rsidP="00E76414">
      <w:r w:rsidRPr="004E7B57">
        <w:t xml:space="preserve">Συγκεντρωτική αποτύπωση όρων και προϋποθέσεων και χρονοδιάγραμμα της </w:t>
      </w:r>
      <w:r w:rsidR="00663E39" w:rsidRPr="004E7B57">
        <w:t xml:space="preserve">Πρώτης </w:t>
      </w:r>
      <w:r w:rsidR="00CC22E1">
        <w:t xml:space="preserve">(Α΄) </w:t>
      </w:r>
      <w:r w:rsidRPr="004E7B57">
        <w:t xml:space="preserve">Ανταγωνιστικής Διαδικασίας </w:t>
      </w:r>
    </w:p>
    <w:p w14:paraId="7F57E538" w14:textId="77777777" w:rsidR="000546D5" w:rsidRPr="004E7B57" w:rsidRDefault="000546D5" w:rsidP="00E76414">
      <w:pPr>
        <w:pStyle w:val="a3"/>
      </w:pPr>
    </w:p>
    <w:p w14:paraId="6A019CD0" w14:textId="01163D7E" w:rsidR="000546D5" w:rsidRDefault="00856EDC" w:rsidP="00E76414">
      <w:r w:rsidRPr="00881D1C">
        <w:rPr>
          <w:b/>
          <w:bCs/>
        </w:rPr>
        <w:t>Πίνακας 1:</w:t>
      </w:r>
      <w:r w:rsidRPr="004E7B57">
        <w:t xml:space="preserve"> Συγκεντρωτική αποτύπωση όρων και προϋποθέσεων της Ανταγωνιστικής Διαδικασίας </w:t>
      </w:r>
    </w:p>
    <w:p w14:paraId="55045F1E" w14:textId="77777777" w:rsidR="00881D1C" w:rsidRPr="004E7B57" w:rsidRDefault="00881D1C" w:rsidP="00E76414"/>
    <w:tbl>
      <w:tblPr>
        <w:tblStyle w:val="TableNormal1"/>
        <w:tblW w:w="94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10"/>
        <w:gridCol w:w="3352"/>
      </w:tblGrid>
      <w:tr w:rsidR="000546D5" w:rsidRPr="00154D93" w14:paraId="549D7330" w14:textId="77777777" w:rsidTr="00881D1C">
        <w:trPr>
          <w:trHeight w:val="592"/>
        </w:trPr>
        <w:tc>
          <w:tcPr>
            <w:tcW w:w="9462" w:type="dxa"/>
            <w:gridSpan w:val="2"/>
          </w:tcPr>
          <w:p w14:paraId="5AE9C0FC" w14:textId="3887F342" w:rsidR="000546D5" w:rsidRPr="00154D93" w:rsidRDefault="00856EDC" w:rsidP="00881D1C">
            <w:pPr>
              <w:pStyle w:val="TableParagraph"/>
              <w:spacing w:line="240" w:lineRule="auto"/>
              <w:rPr>
                <w:rFonts w:ascii="Tahoma" w:hAnsi="Tahoma" w:cs="Tahoma"/>
                <w:b/>
                <w:bCs/>
              </w:rPr>
            </w:pPr>
            <w:r w:rsidRPr="00154D93">
              <w:rPr>
                <w:rFonts w:ascii="Tahoma" w:hAnsi="Tahoma" w:cs="Tahoma"/>
                <w:b/>
                <w:bCs/>
              </w:rPr>
              <w:t xml:space="preserve">ΑΝΤΑΓΩΝΙΣΤΙΚΗ ΔΙΑΔΙΚΑΣΙΑ </w:t>
            </w:r>
          </w:p>
        </w:tc>
      </w:tr>
      <w:tr w:rsidR="000546D5" w:rsidRPr="00154D93" w14:paraId="4A8D918A" w14:textId="77777777" w:rsidTr="00881D1C">
        <w:trPr>
          <w:trHeight w:val="595"/>
        </w:trPr>
        <w:tc>
          <w:tcPr>
            <w:tcW w:w="6110" w:type="dxa"/>
          </w:tcPr>
          <w:p w14:paraId="3758EB01" w14:textId="62EAC20E" w:rsidR="000546D5" w:rsidRPr="00154D93" w:rsidRDefault="00856EDC" w:rsidP="00881D1C">
            <w:pPr>
              <w:pStyle w:val="TableParagraph"/>
              <w:spacing w:line="240" w:lineRule="auto"/>
              <w:rPr>
                <w:rFonts w:ascii="Tahoma" w:hAnsi="Tahoma" w:cs="Tahoma"/>
              </w:rPr>
            </w:pPr>
            <w:r w:rsidRPr="00154D93">
              <w:rPr>
                <w:rFonts w:ascii="Tahoma" w:hAnsi="Tahoma" w:cs="Tahoma"/>
              </w:rPr>
              <w:t xml:space="preserve">Ανώτατη </w:t>
            </w:r>
            <w:proofErr w:type="spellStart"/>
            <w:r w:rsidRPr="00154D93">
              <w:rPr>
                <w:rFonts w:ascii="Tahoma" w:hAnsi="Tahoma" w:cs="Tahoma"/>
              </w:rPr>
              <w:t>επιτρεπόµενη</w:t>
            </w:r>
            <w:proofErr w:type="spellEnd"/>
            <w:r w:rsidRPr="00154D93">
              <w:rPr>
                <w:rFonts w:ascii="Tahoma" w:hAnsi="Tahoma" w:cs="Tahoma"/>
              </w:rPr>
              <w:t xml:space="preserve"> </w:t>
            </w:r>
            <w:proofErr w:type="spellStart"/>
            <w:r w:rsidRPr="00154D93">
              <w:rPr>
                <w:rFonts w:ascii="Tahoma" w:hAnsi="Tahoma" w:cs="Tahoma"/>
              </w:rPr>
              <w:t>τιµή</w:t>
            </w:r>
            <w:proofErr w:type="spellEnd"/>
            <w:r w:rsidRPr="00154D93">
              <w:rPr>
                <w:rFonts w:ascii="Tahoma" w:hAnsi="Tahoma" w:cs="Tahoma"/>
              </w:rPr>
              <w:t xml:space="preserve"> προσφοράς [€/</w:t>
            </w:r>
            <w:r w:rsidR="00123882" w:rsidRPr="00154D93">
              <w:rPr>
                <w:rFonts w:ascii="Tahoma" w:hAnsi="Tahoma" w:cs="Tahoma"/>
              </w:rPr>
              <w:t>MW/έτος</w:t>
            </w:r>
            <w:r w:rsidRPr="00154D93">
              <w:rPr>
                <w:rFonts w:ascii="Tahoma" w:hAnsi="Tahoma" w:cs="Tahoma"/>
              </w:rPr>
              <w:t>]</w:t>
            </w:r>
          </w:p>
        </w:tc>
        <w:tc>
          <w:tcPr>
            <w:tcW w:w="3352" w:type="dxa"/>
          </w:tcPr>
          <w:p w14:paraId="693C54C9" w14:textId="0B3ED821" w:rsidR="000546D5" w:rsidRPr="00154D93" w:rsidRDefault="00123882" w:rsidP="00881D1C">
            <w:pPr>
              <w:pStyle w:val="TableParagraph"/>
              <w:spacing w:line="240" w:lineRule="auto"/>
              <w:rPr>
                <w:rFonts w:ascii="Tahoma" w:hAnsi="Tahoma" w:cs="Tahoma"/>
              </w:rPr>
            </w:pPr>
            <w:r w:rsidRPr="00154D93">
              <w:rPr>
                <w:rFonts w:ascii="Tahoma" w:hAnsi="Tahoma" w:cs="Tahoma"/>
              </w:rPr>
              <w:t>115.000</w:t>
            </w:r>
          </w:p>
        </w:tc>
      </w:tr>
      <w:tr w:rsidR="000546D5" w:rsidRPr="00154D93" w14:paraId="49C2245C" w14:textId="77777777" w:rsidTr="00881D1C">
        <w:trPr>
          <w:trHeight w:val="407"/>
        </w:trPr>
        <w:tc>
          <w:tcPr>
            <w:tcW w:w="6110" w:type="dxa"/>
          </w:tcPr>
          <w:p w14:paraId="39FBF427" w14:textId="5F9B6ED3" w:rsidR="000546D5" w:rsidRPr="00154D93" w:rsidRDefault="00856EDC" w:rsidP="00881D1C">
            <w:pPr>
              <w:pStyle w:val="TableParagraph"/>
              <w:spacing w:line="240" w:lineRule="auto"/>
              <w:rPr>
                <w:rFonts w:ascii="Tahoma" w:hAnsi="Tahoma" w:cs="Tahoma"/>
              </w:rPr>
            </w:pPr>
            <w:r w:rsidRPr="00154D93">
              <w:rPr>
                <w:rFonts w:ascii="Tahoma" w:hAnsi="Tahoma" w:cs="Tahoma"/>
              </w:rPr>
              <w:t>Τέλος Συμμετοχής</w:t>
            </w:r>
            <w:r w:rsidR="003D7283" w:rsidRPr="00154D93">
              <w:rPr>
                <w:rFonts w:ascii="Tahoma" w:hAnsi="Tahoma" w:cs="Tahoma"/>
              </w:rPr>
              <w:t xml:space="preserve"> [€]</w:t>
            </w:r>
          </w:p>
        </w:tc>
        <w:tc>
          <w:tcPr>
            <w:tcW w:w="3352" w:type="dxa"/>
          </w:tcPr>
          <w:p w14:paraId="11D23EDB" w14:textId="311AA91E" w:rsidR="000546D5" w:rsidRPr="00154D93" w:rsidRDefault="00D50233" w:rsidP="00881D1C">
            <w:pPr>
              <w:pStyle w:val="TableParagraph"/>
              <w:spacing w:line="240" w:lineRule="auto"/>
              <w:rPr>
                <w:rFonts w:ascii="Tahoma" w:hAnsi="Tahoma" w:cs="Tahoma"/>
              </w:rPr>
            </w:pPr>
            <w:r w:rsidRPr="00154D93">
              <w:rPr>
                <w:rFonts w:ascii="Tahoma" w:hAnsi="Tahoma" w:cs="Tahoma"/>
              </w:rPr>
              <w:t>2.500</w:t>
            </w:r>
          </w:p>
        </w:tc>
      </w:tr>
      <w:tr w:rsidR="000546D5" w:rsidRPr="00154D93" w14:paraId="3EC35F50" w14:textId="77777777" w:rsidTr="00881D1C">
        <w:trPr>
          <w:trHeight w:val="330"/>
        </w:trPr>
        <w:tc>
          <w:tcPr>
            <w:tcW w:w="6110" w:type="dxa"/>
          </w:tcPr>
          <w:p w14:paraId="37F9BE3B" w14:textId="0F5D796C" w:rsidR="000546D5" w:rsidRPr="00154D93" w:rsidRDefault="00856EDC" w:rsidP="00881D1C">
            <w:pPr>
              <w:pStyle w:val="TableParagraph"/>
              <w:spacing w:line="240" w:lineRule="auto"/>
              <w:rPr>
                <w:rFonts w:ascii="Tahoma" w:hAnsi="Tahoma" w:cs="Tahoma"/>
              </w:rPr>
            </w:pPr>
            <w:r w:rsidRPr="00154D93">
              <w:rPr>
                <w:rFonts w:ascii="Tahoma" w:hAnsi="Tahoma" w:cs="Tahoma"/>
              </w:rPr>
              <w:t>Εγγυητική Επιστολή Συμμετοχής</w:t>
            </w:r>
            <w:r w:rsidR="003D7283" w:rsidRPr="00154D93">
              <w:rPr>
                <w:rFonts w:ascii="Tahoma" w:hAnsi="Tahoma" w:cs="Tahoma"/>
              </w:rPr>
              <w:t xml:space="preserve"> [€/</w:t>
            </w:r>
            <w:r w:rsidR="003D7283" w:rsidRPr="00154D93">
              <w:rPr>
                <w:rFonts w:ascii="Tahoma" w:hAnsi="Tahoma" w:cs="Tahoma"/>
                <w:lang w:val="en-US"/>
              </w:rPr>
              <w:t>MW]</w:t>
            </w:r>
          </w:p>
        </w:tc>
        <w:tc>
          <w:tcPr>
            <w:tcW w:w="3352" w:type="dxa"/>
          </w:tcPr>
          <w:p w14:paraId="0303AAFD" w14:textId="35C89135" w:rsidR="000546D5" w:rsidRPr="00154D93" w:rsidRDefault="00881D1C" w:rsidP="00881D1C">
            <w:pPr>
              <w:pStyle w:val="TableParagraph"/>
              <w:spacing w:line="240" w:lineRule="auto"/>
              <w:rPr>
                <w:rFonts w:ascii="Tahoma" w:hAnsi="Tahoma" w:cs="Tahoma"/>
              </w:rPr>
            </w:pPr>
            <w:r w:rsidRPr="00154D93">
              <w:rPr>
                <w:rFonts w:ascii="Tahoma" w:hAnsi="Tahoma" w:cs="Tahoma"/>
                <w:lang w:val="en-US"/>
              </w:rPr>
              <w:t>35</w:t>
            </w:r>
            <w:r w:rsidR="00123882" w:rsidRPr="00154D93">
              <w:rPr>
                <w:rFonts w:ascii="Tahoma" w:hAnsi="Tahoma" w:cs="Tahoma"/>
              </w:rPr>
              <w:t>.000</w:t>
            </w:r>
            <w:r w:rsidR="00663E39" w:rsidRPr="00154D93">
              <w:rPr>
                <w:rFonts w:ascii="Tahoma" w:hAnsi="Tahoma" w:cs="Tahoma"/>
              </w:rPr>
              <w:t xml:space="preserve"> </w:t>
            </w:r>
          </w:p>
        </w:tc>
      </w:tr>
      <w:tr w:rsidR="000546D5" w:rsidRPr="00154D93" w14:paraId="754298A0" w14:textId="77777777" w:rsidTr="00881D1C">
        <w:trPr>
          <w:trHeight w:val="541"/>
        </w:trPr>
        <w:tc>
          <w:tcPr>
            <w:tcW w:w="6110" w:type="dxa"/>
          </w:tcPr>
          <w:p w14:paraId="682C4AC4" w14:textId="32566AC4" w:rsidR="000546D5" w:rsidRPr="00154D93" w:rsidRDefault="00337D03" w:rsidP="00881D1C">
            <w:pPr>
              <w:pStyle w:val="TableParagraph"/>
              <w:spacing w:line="240" w:lineRule="auto"/>
              <w:rPr>
                <w:rFonts w:ascii="Tahoma" w:hAnsi="Tahoma" w:cs="Tahoma"/>
              </w:rPr>
            </w:pPr>
            <w:r w:rsidRPr="00154D93">
              <w:rPr>
                <w:rFonts w:ascii="Tahoma" w:hAnsi="Tahoma" w:cs="Tahoma"/>
              </w:rPr>
              <w:t xml:space="preserve">Εγγυητική Επιστολή Έντεχνης και Έγκαιρης </w:t>
            </w:r>
            <w:r w:rsidR="00AD22DD" w:rsidRPr="00154D93">
              <w:rPr>
                <w:rFonts w:ascii="Tahoma" w:hAnsi="Tahoma" w:cs="Tahoma"/>
              </w:rPr>
              <w:t>Εκτέλεσης</w:t>
            </w:r>
            <w:r w:rsidR="00856EDC" w:rsidRPr="00154D93">
              <w:rPr>
                <w:rFonts w:ascii="Tahoma" w:hAnsi="Tahoma" w:cs="Tahoma"/>
              </w:rPr>
              <w:t xml:space="preserve"> [€</w:t>
            </w:r>
            <w:r w:rsidR="003D7283" w:rsidRPr="00154D93">
              <w:rPr>
                <w:rFonts w:ascii="Tahoma" w:hAnsi="Tahoma" w:cs="Tahoma"/>
              </w:rPr>
              <w:t>/</w:t>
            </w:r>
            <w:r w:rsidR="003D7283" w:rsidRPr="00154D93">
              <w:rPr>
                <w:rFonts w:ascii="Tahoma" w:hAnsi="Tahoma" w:cs="Tahoma"/>
                <w:lang w:val="en-US"/>
              </w:rPr>
              <w:t>MW</w:t>
            </w:r>
            <w:r w:rsidR="00856EDC" w:rsidRPr="00154D93">
              <w:rPr>
                <w:rFonts w:ascii="Tahoma" w:hAnsi="Tahoma" w:cs="Tahoma"/>
              </w:rPr>
              <w:t>]</w:t>
            </w:r>
            <w:r w:rsidR="00FE0C0C" w:rsidRPr="00154D93">
              <w:rPr>
                <w:rFonts w:ascii="Tahoma" w:hAnsi="Tahoma" w:cs="Tahoma"/>
              </w:rPr>
              <w:t>*</w:t>
            </w:r>
          </w:p>
        </w:tc>
        <w:tc>
          <w:tcPr>
            <w:tcW w:w="3352" w:type="dxa"/>
          </w:tcPr>
          <w:p w14:paraId="063D35B8" w14:textId="0492FEDB" w:rsidR="000546D5" w:rsidRPr="00154D93" w:rsidRDefault="00123882" w:rsidP="00881D1C">
            <w:pPr>
              <w:pStyle w:val="TableParagraph"/>
              <w:spacing w:line="240" w:lineRule="auto"/>
              <w:rPr>
                <w:rFonts w:ascii="Tahoma" w:hAnsi="Tahoma" w:cs="Tahoma"/>
              </w:rPr>
            </w:pPr>
            <w:r w:rsidRPr="00154D93">
              <w:rPr>
                <w:rFonts w:ascii="Tahoma" w:hAnsi="Tahoma" w:cs="Tahoma"/>
              </w:rPr>
              <w:t>250.000</w:t>
            </w:r>
            <w:r w:rsidR="00663E39" w:rsidRPr="00154D93">
              <w:rPr>
                <w:rFonts w:ascii="Tahoma" w:hAnsi="Tahoma" w:cs="Tahoma"/>
              </w:rPr>
              <w:t xml:space="preserve"> </w:t>
            </w:r>
          </w:p>
        </w:tc>
      </w:tr>
      <w:tr w:rsidR="003F50FD" w:rsidRPr="00154D93" w14:paraId="74A72EE9" w14:textId="77777777" w:rsidTr="00881D1C">
        <w:trPr>
          <w:trHeight w:val="540"/>
        </w:trPr>
        <w:tc>
          <w:tcPr>
            <w:tcW w:w="6110" w:type="dxa"/>
          </w:tcPr>
          <w:p w14:paraId="16E62897" w14:textId="78F6BD8E" w:rsidR="003F50FD" w:rsidRPr="00154D93" w:rsidRDefault="003F50FD" w:rsidP="00881D1C">
            <w:pPr>
              <w:pStyle w:val="TableParagraph"/>
              <w:spacing w:line="240" w:lineRule="auto"/>
              <w:rPr>
                <w:rFonts w:ascii="Tahoma" w:hAnsi="Tahoma" w:cs="Tahoma"/>
              </w:rPr>
            </w:pPr>
            <w:r w:rsidRPr="00154D93">
              <w:rPr>
                <w:rFonts w:ascii="Tahoma" w:hAnsi="Tahoma" w:cs="Tahoma"/>
              </w:rPr>
              <w:t>Εγγυητική Επιστολή Καλής Λειτουργίας</w:t>
            </w:r>
            <w:r w:rsidR="003D7283" w:rsidRPr="00154D93">
              <w:rPr>
                <w:rFonts w:ascii="Tahoma" w:hAnsi="Tahoma" w:cs="Tahoma"/>
              </w:rPr>
              <w:t xml:space="preserve"> [€/</w:t>
            </w:r>
            <w:r w:rsidR="003D7283" w:rsidRPr="00154D93">
              <w:rPr>
                <w:rFonts w:ascii="Tahoma" w:hAnsi="Tahoma" w:cs="Tahoma"/>
                <w:lang w:val="en-US"/>
              </w:rPr>
              <w:t>MW</w:t>
            </w:r>
            <w:r w:rsidR="003D7283" w:rsidRPr="00154D93">
              <w:rPr>
                <w:rFonts w:ascii="Tahoma" w:hAnsi="Tahoma" w:cs="Tahoma"/>
              </w:rPr>
              <w:t>]</w:t>
            </w:r>
            <w:r w:rsidR="003063CA" w:rsidRPr="00154D93">
              <w:rPr>
                <w:rFonts w:ascii="Tahoma" w:hAnsi="Tahoma" w:cs="Tahoma"/>
              </w:rPr>
              <w:t>**</w:t>
            </w:r>
          </w:p>
        </w:tc>
        <w:tc>
          <w:tcPr>
            <w:tcW w:w="3352" w:type="dxa"/>
          </w:tcPr>
          <w:p w14:paraId="16AFE314" w14:textId="43039008" w:rsidR="003F50FD" w:rsidRPr="00154D93" w:rsidRDefault="00987DD8" w:rsidP="00881D1C">
            <w:pPr>
              <w:pStyle w:val="TableParagraph"/>
              <w:spacing w:line="240" w:lineRule="auto"/>
              <w:rPr>
                <w:rFonts w:ascii="Tahoma" w:hAnsi="Tahoma" w:cs="Tahoma"/>
              </w:rPr>
            </w:pPr>
            <w:r w:rsidRPr="00154D93">
              <w:rPr>
                <w:rFonts w:ascii="Tahoma" w:hAnsi="Tahoma" w:cs="Tahoma"/>
              </w:rPr>
              <w:t>2</w:t>
            </w:r>
            <w:r w:rsidRPr="00154D93">
              <w:rPr>
                <w:rFonts w:ascii="Tahoma" w:hAnsi="Tahoma" w:cs="Tahoma"/>
                <w:lang w:val="en-US"/>
              </w:rPr>
              <w:t>0</w:t>
            </w:r>
            <w:r w:rsidRPr="00154D93">
              <w:rPr>
                <w:rFonts w:ascii="Tahoma" w:hAnsi="Tahoma" w:cs="Tahoma"/>
              </w:rPr>
              <w:t>0</w:t>
            </w:r>
            <w:r w:rsidR="00123882" w:rsidRPr="00154D93">
              <w:rPr>
                <w:rFonts w:ascii="Tahoma" w:hAnsi="Tahoma" w:cs="Tahoma"/>
              </w:rPr>
              <w:t>.000</w:t>
            </w:r>
            <w:r w:rsidR="003F50FD" w:rsidRPr="00154D93">
              <w:rPr>
                <w:rFonts w:ascii="Tahoma" w:hAnsi="Tahoma" w:cs="Tahoma"/>
              </w:rPr>
              <w:t xml:space="preserve"> </w:t>
            </w:r>
          </w:p>
        </w:tc>
      </w:tr>
    </w:tbl>
    <w:p w14:paraId="292D3A25" w14:textId="291C2B78" w:rsidR="00FE0C0C" w:rsidRPr="000D19AF" w:rsidRDefault="00FE0C0C" w:rsidP="00E76414">
      <w:pPr>
        <w:pStyle w:val="a3"/>
      </w:pPr>
      <w:r w:rsidRPr="004E7B57">
        <w:rPr>
          <w:b/>
        </w:rPr>
        <w:t xml:space="preserve">* </w:t>
      </w:r>
      <w:r w:rsidRPr="004E7B57">
        <w:t xml:space="preserve">ενδεχόμενη </w:t>
      </w:r>
      <w:proofErr w:type="spellStart"/>
      <w:r w:rsidRPr="004E7B57">
        <w:t>απομείωση</w:t>
      </w:r>
      <w:proofErr w:type="spellEnd"/>
      <w:r w:rsidRPr="004E7B57">
        <w:t xml:space="preserve"> </w:t>
      </w:r>
      <w:r w:rsidRPr="000D19AF">
        <w:t>κατά την παρ. 11.</w:t>
      </w:r>
      <w:r w:rsidR="00AC70D3" w:rsidRPr="000D19AF">
        <w:t>3</w:t>
      </w:r>
      <w:r w:rsidRPr="000D19AF">
        <w:t>.2. περ. 2(β)</w:t>
      </w:r>
    </w:p>
    <w:p w14:paraId="5DA13537" w14:textId="3C24C57C" w:rsidR="003063CA" w:rsidRPr="004E7B57" w:rsidRDefault="003063CA" w:rsidP="00E76414">
      <w:pPr>
        <w:pStyle w:val="a3"/>
      </w:pPr>
      <w:r w:rsidRPr="000D19AF">
        <w:rPr>
          <w:b/>
        </w:rPr>
        <w:t xml:space="preserve">** </w:t>
      </w:r>
      <w:proofErr w:type="spellStart"/>
      <w:r w:rsidRPr="000D19AF">
        <w:t>απομείωση</w:t>
      </w:r>
      <w:proofErr w:type="spellEnd"/>
      <w:r w:rsidRPr="000D19AF">
        <w:t xml:space="preserve"> </w:t>
      </w:r>
      <w:r w:rsidR="00832258" w:rsidRPr="000D19AF">
        <w:t>με την ολοκλήρωση</w:t>
      </w:r>
      <w:r w:rsidRPr="000D19AF">
        <w:t xml:space="preserve"> 5 </w:t>
      </w:r>
      <w:r w:rsidR="00832258" w:rsidRPr="000D19AF">
        <w:t>ετών</w:t>
      </w:r>
      <w:r w:rsidRPr="000D19AF">
        <w:t xml:space="preserve"> εμπορικής λειτουργίας κατά την παρ. 11.</w:t>
      </w:r>
      <w:r w:rsidR="00AC70D3" w:rsidRPr="000D19AF">
        <w:t>3</w:t>
      </w:r>
      <w:r w:rsidRPr="000D19AF">
        <w:t>.3. περ. 2(β)</w:t>
      </w:r>
    </w:p>
    <w:p w14:paraId="0E2F5A98" w14:textId="77777777" w:rsidR="003063CA" w:rsidRDefault="003063CA" w:rsidP="00E76414">
      <w:pPr>
        <w:pStyle w:val="a3"/>
      </w:pPr>
    </w:p>
    <w:p w14:paraId="28514B58" w14:textId="77777777" w:rsidR="000B1B60" w:rsidRPr="004E7B57" w:rsidRDefault="000B1B60" w:rsidP="00E76414">
      <w:pPr>
        <w:pStyle w:val="a3"/>
      </w:pPr>
    </w:p>
    <w:p w14:paraId="7B54827E" w14:textId="77777777" w:rsidR="000D19AF" w:rsidRDefault="000D19AF">
      <w:pPr>
        <w:tabs>
          <w:tab w:val="clear" w:pos="1189"/>
        </w:tabs>
        <w:spacing w:after="0" w:line="240" w:lineRule="auto"/>
        <w:ind w:right="0"/>
        <w:jc w:val="left"/>
        <w:rPr>
          <w:b/>
          <w:bCs/>
        </w:rPr>
      </w:pPr>
      <w:r>
        <w:rPr>
          <w:b/>
          <w:bCs/>
        </w:rPr>
        <w:br w:type="page"/>
      </w:r>
    </w:p>
    <w:p w14:paraId="6AA22395" w14:textId="258F08E2" w:rsidR="000546D5" w:rsidRPr="004E7B57" w:rsidRDefault="00856EDC" w:rsidP="00E76414">
      <w:r w:rsidRPr="00881D1C">
        <w:rPr>
          <w:b/>
          <w:bCs/>
        </w:rPr>
        <w:lastRenderedPageBreak/>
        <w:t>Πίνακας 2:</w:t>
      </w:r>
      <w:r w:rsidRPr="004E7B57">
        <w:t xml:space="preserve"> Χρονοδιάγραμμα Ανταγωνιστικής Διαδικασίας </w:t>
      </w:r>
    </w:p>
    <w:p w14:paraId="693BFA2C" w14:textId="77777777" w:rsidR="000546D5" w:rsidRPr="004E7B57" w:rsidRDefault="000546D5" w:rsidP="00E76414">
      <w:pPr>
        <w:pStyle w:val="a3"/>
      </w:pP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678"/>
      </w:tblGrid>
      <w:tr w:rsidR="00663E39" w:rsidRPr="004E7B57" w14:paraId="0CF36C50" w14:textId="77777777" w:rsidTr="000B1B60">
        <w:trPr>
          <w:trHeight w:val="959"/>
        </w:trPr>
        <w:tc>
          <w:tcPr>
            <w:tcW w:w="4820" w:type="dxa"/>
          </w:tcPr>
          <w:p w14:paraId="717A79F5" w14:textId="4DF61F34" w:rsidR="00663E39" w:rsidRPr="004E7B57" w:rsidRDefault="00663E39" w:rsidP="000B1B60">
            <w:pPr>
              <w:pStyle w:val="TableParagraph"/>
              <w:spacing w:line="240" w:lineRule="auto"/>
              <w:ind w:firstLine="23"/>
              <w:rPr>
                <w:b/>
                <w:i/>
              </w:rPr>
            </w:pPr>
            <w:r w:rsidRPr="004E7B57">
              <w:t xml:space="preserve">Υποβολή ερωτημάτων Ενδιαφερομένων επί </w:t>
            </w:r>
            <w:r w:rsidR="00ED7D04" w:rsidRPr="004E7B57">
              <w:t>της</w:t>
            </w:r>
          </w:p>
          <w:p w14:paraId="25D6A6FD" w14:textId="52E34C14" w:rsidR="00663E39" w:rsidRPr="004E7B57" w:rsidRDefault="00663E39" w:rsidP="00881D1C">
            <w:pPr>
              <w:pStyle w:val="TableParagraph"/>
              <w:spacing w:line="240" w:lineRule="auto"/>
            </w:pPr>
            <w:r w:rsidRPr="004E7B57">
              <w:t>Προκήρυξης της Ανταγωνιστικής Διαδικασίας</w:t>
            </w:r>
          </w:p>
        </w:tc>
        <w:tc>
          <w:tcPr>
            <w:tcW w:w="4678" w:type="dxa"/>
          </w:tcPr>
          <w:p w14:paraId="36D10D2E" w14:textId="212F1D7B" w:rsidR="00663E39" w:rsidRPr="004E7B57" w:rsidRDefault="00663E39" w:rsidP="00881D1C">
            <w:pPr>
              <w:pStyle w:val="TableParagraph"/>
              <w:spacing w:line="240" w:lineRule="auto"/>
            </w:pPr>
            <w:r w:rsidRPr="004E7B57">
              <w:t xml:space="preserve">Από την ημερομηνία έκδοσης της Προκήρυξης σε ΦΕΚ έως </w:t>
            </w:r>
            <w:r w:rsidR="0082481C">
              <w:t>τις 30.06.2023 ώρα 10:00 π.μ.</w:t>
            </w:r>
          </w:p>
        </w:tc>
      </w:tr>
      <w:tr w:rsidR="000546D5" w:rsidRPr="004E7B57" w14:paraId="02D4BB05" w14:textId="77777777" w:rsidTr="000B1B60">
        <w:trPr>
          <w:trHeight w:val="856"/>
        </w:trPr>
        <w:tc>
          <w:tcPr>
            <w:tcW w:w="4820" w:type="dxa"/>
          </w:tcPr>
          <w:p w14:paraId="718F014A" w14:textId="77777777" w:rsidR="000546D5" w:rsidRPr="004E7B57" w:rsidRDefault="00856EDC" w:rsidP="00881D1C">
            <w:pPr>
              <w:pStyle w:val="TableParagraph"/>
              <w:spacing w:line="240" w:lineRule="auto"/>
            </w:pPr>
            <w:r w:rsidRPr="004E7B57">
              <w:t>Έναρξη υποβολής αιτήσεων συμμετοχής</w:t>
            </w:r>
          </w:p>
        </w:tc>
        <w:tc>
          <w:tcPr>
            <w:tcW w:w="4678" w:type="dxa"/>
          </w:tcPr>
          <w:p w14:paraId="163177FC" w14:textId="278AC28A" w:rsidR="000546D5" w:rsidRPr="004E7B57" w:rsidRDefault="00F925AB" w:rsidP="00881D1C">
            <w:pPr>
              <w:pStyle w:val="TableParagraph"/>
              <w:spacing w:line="240" w:lineRule="auto"/>
            </w:pPr>
            <w:r>
              <w:rPr>
                <w:color w:val="000000"/>
              </w:rPr>
              <w:t>Από</w:t>
            </w:r>
            <w:r w:rsidRPr="00C24758">
              <w:rPr>
                <w:color w:val="000000"/>
              </w:rPr>
              <w:t xml:space="preserve"> την ημερομηνία δημοσίευσης της Προκήρυξης σε ΦΕΚ</w:t>
            </w:r>
          </w:p>
        </w:tc>
      </w:tr>
      <w:tr w:rsidR="00663E39" w:rsidRPr="004E7B57" w14:paraId="768E281A" w14:textId="77777777" w:rsidTr="000B1B60">
        <w:trPr>
          <w:trHeight w:val="782"/>
        </w:trPr>
        <w:tc>
          <w:tcPr>
            <w:tcW w:w="4820" w:type="dxa"/>
          </w:tcPr>
          <w:p w14:paraId="37BE6478" w14:textId="79706255" w:rsidR="00663E39" w:rsidRPr="004E7B57" w:rsidRDefault="00663E39" w:rsidP="00F925AB">
            <w:pPr>
              <w:pStyle w:val="TableParagraph"/>
              <w:spacing w:line="240" w:lineRule="auto"/>
            </w:pPr>
            <w:r w:rsidRPr="004E7B57">
              <w:t>Λήξη</w:t>
            </w:r>
            <w:r w:rsidR="00F925AB">
              <w:t xml:space="preserve"> </w:t>
            </w:r>
            <w:r w:rsidRPr="004E7B57">
              <w:t>υποβολής</w:t>
            </w:r>
            <w:r w:rsidR="00F925AB">
              <w:t xml:space="preserve"> </w:t>
            </w:r>
            <w:r w:rsidRPr="004E7B57">
              <w:t>αιτήσεων</w:t>
            </w:r>
            <w:r w:rsidR="00F925AB">
              <w:t xml:space="preserve"> </w:t>
            </w:r>
            <w:r w:rsidRPr="004E7B57">
              <w:t>συμμετοχής</w:t>
            </w:r>
          </w:p>
        </w:tc>
        <w:tc>
          <w:tcPr>
            <w:tcW w:w="4678" w:type="dxa"/>
          </w:tcPr>
          <w:p w14:paraId="77650955" w14:textId="1F17C41C" w:rsidR="00663E39" w:rsidRPr="003F0DAE" w:rsidRDefault="00FE0C0C" w:rsidP="00881D1C">
            <w:pPr>
              <w:pStyle w:val="TableParagraph"/>
              <w:spacing w:line="240" w:lineRule="auto"/>
              <w:rPr>
                <w:b/>
                <w:bCs/>
              </w:rPr>
            </w:pPr>
            <w:r w:rsidRPr="003F0DAE">
              <w:rPr>
                <w:b/>
                <w:bCs/>
              </w:rPr>
              <w:t xml:space="preserve"> </w:t>
            </w:r>
            <w:r w:rsidR="00F925AB" w:rsidRPr="003F0DAE">
              <w:rPr>
                <w:b/>
                <w:bCs/>
              </w:rPr>
              <w:t>10.07.2023 ώρα 23:59</w:t>
            </w:r>
          </w:p>
          <w:p w14:paraId="5390D6D2" w14:textId="00E650AB" w:rsidR="00663E39" w:rsidRPr="004E7B57" w:rsidRDefault="00663E39" w:rsidP="00881D1C">
            <w:pPr>
              <w:pStyle w:val="TableParagraph"/>
              <w:spacing w:line="240" w:lineRule="auto"/>
            </w:pPr>
          </w:p>
        </w:tc>
      </w:tr>
      <w:tr w:rsidR="00F925AB" w:rsidRPr="004E7B57" w14:paraId="52567B6C" w14:textId="77777777" w:rsidTr="000B1B60">
        <w:trPr>
          <w:trHeight w:val="861"/>
        </w:trPr>
        <w:tc>
          <w:tcPr>
            <w:tcW w:w="4820" w:type="dxa"/>
          </w:tcPr>
          <w:p w14:paraId="305FD5AB" w14:textId="57792743" w:rsidR="00F925AB" w:rsidRPr="004E7B57" w:rsidRDefault="00F925AB" w:rsidP="00881D1C">
            <w:pPr>
              <w:pStyle w:val="TableParagraph"/>
              <w:spacing w:line="240" w:lineRule="auto"/>
            </w:pPr>
            <w:r w:rsidRPr="00C24758">
              <w:rPr>
                <w:color w:val="000000"/>
              </w:rPr>
              <w:t>Προσκόμιση πρωτότυπου εγγράφου (</w:t>
            </w:r>
            <w:proofErr w:type="spellStart"/>
            <w:r w:rsidRPr="00C24758">
              <w:rPr>
                <w:color w:val="000000"/>
              </w:rPr>
              <w:t>Hard</w:t>
            </w:r>
            <w:proofErr w:type="spellEnd"/>
            <w:r w:rsidRPr="00C24758">
              <w:rPr>
                <w:color w:val="000000"/>
              </w:rPr>
              <w:t xml:space="preserve"> Copy) </w:t>
            </w:r>
            <w:r>
              <w:rPr>
                <w:color w:val="000000"/>
              </w:rPr>
              <w:t xml:space="preserve">Εγγυητικής Επιστολής Συμμετοχής </w:t>
            </w:r>
            <w:r w:rsidRPr="00C24758">
              <w:rPr>
                <w:color w:val="000000"/>
              </w:rPr>
              <w:t>και παραλαβή από τη ΡΑΕ</w:t>
            </w:r>
          </w:p>
        </w:tc>
        <w:tc>
          <w:tcPr>
            <w:tcW w:w="4678" w:type="dxa"/>
          </w:tcPr>
          <w:p w14:paraId="6794CBAC" w14:textId="682CB50A" w:rsidR="00F925AB" w:rsidRPr="003F0DAE" w:rsidRDefault="00F925AB" w:rsidP="00881D1C">
            <w:pPr>
              <w:pStyle w:val="TableParagraph"/>
              <w:spacing w:line="240" w:lineRule="auto"/>
              <w:rPr>
                <w:b/>
                <w:bCs/>
              </w:rPr>
            </w:pPr>
            <w:r w:rsidRPr="003F0DAE">
              <w:rPr>
                <w:b/>
                <w:bCs/>
              </w:rPr>
              <w:t>Έως τις 12.07.2023 και ώρα 15:00</w:t>
            </w:r>
          </w:p>
        </w:tc>
      </w:tr>
      <w:tr w:rsidR="00F925AB" w:rsidRPr="004E7B57" w14:paraId="42D80711" w14:textId="77777777" w:rsidTr="000B1B60">
        <w:trPr>
          <w:trHeight w:val="861"/>
        </w:trPr>
        <w:tc>
          <w:tcPr>
            <w:tcW w:w="4820" w:type="dxa"/>
          </w:tcPr>
          <w:p w14:paraId="370A5629" w14:textId="25E8BFB6" w:rsidR="00F925AB" w:rsidRPr="00C24758" w:rsidRDefault="00F925AB" w:rsidP="00881D1C">
            <w:pPr>
              <w:pStyle w:val="TableParagraph"/>
              <w:spacing w:line="240" w:lineRule="auto"/>
              <w:rPr>
                <w:color w:val="000000"/>
              </w:rPr>
            </w:pPr>
            <w:r w:rsidRPr="00650437">
              <w:rPr>
                <w:color w:val="000000"/>
              </w:rPr>
              <w:t>Υποβολή ηλεκτρονικού αντιγράφου Εγγυητικής Επιστολής Συμμετοχής από το φορέα έκδοσης.</w:t>
            </w:r>
          </w:p>
        </w:tc>
        <w:tc>
          <w:tcPr>
            <w:tcW w:w="4678" w:type="dxa"/>
          </w:tcPr>
          <w:p w14:paraId="22982BE0" w14:textId="40117EFF" w:rsidR="00F925AB" w:rsidRPr="00F925AB" w:rsidRDefault="00F925AB" w:rsidP="00881D1C">
            <w:pPr>
              <w:pStyle w:val="TableParagraph"/>
              <w:spacing w:line="240" w:lineRule="auto"/>
              <w:rPr>
                <w:b/>
                <w:bCs/>
              </w:rPr>
            </w:pPr>
            <w:r w:rsidRPr="00331D3E">
              <w:rPr>
                <w:b/>
                <w:bCs/>
              </w:rPr>
              <w:t>Έως τις 12.07.2023 και ώρα 15:00</w:t>
            </w:r>
          </w:p>
        </w:tc>
      </w:tr>
      <w:tr w:rsidR="00F925AB" w:rsidRPr="004E7B57" w14:paraId="0BCAF8F2" w14:textId="77777777" w:rsidTr="000B1B60">
        <w:trPr>
          <w:trHeight w:val="709"/>
        </w:trPr>
        <w:tc>
          <w:tcPr>
            <w:tcW w:w="4820" w:type="dxa"/>
          </w:tcPr>
          <w:p w14:paraId="1DB534ED" w14:textId="107002FA" w:rsidR="00F925AB" w:rsidRPr="001B4B05" w:rsidRDefault="00F925AB" w:rsidP="003F0DAE">
            <w:pPr>
              <w:pStyle w:val="TableParagraph"/>
              <w:tabs>
                <w:tab w:val="left" w:pos="2477"/>
              </w:tabs>
              <w:spacing w:line="240" w:lineRule="auto"/>
              <w:rPr>
                <w:color w:val="000000"/>
              </w:rPr>
            </w:pPr>
            <w:r w:rsidRPr="00F925AB">
              <w:rPr>
                <w:color w:val="000000"/>
              </w:rPr>
              <w:t xml:space="preserve">Αξιολόγηση αιτήσεων από τη </w:t>
            </w:r>
            <w:r w:rsidR="001B4B05">
              <w:rPr>
                <w:color w:val="000000"/>
              </w:rPr>
              <w:t>Ρ.Α.Α.Ε.Υ.</w:t>
            </w:r>
          </w:p>
        </w:tc>
        <w:tc>
          <w:tcPr>
            <w:tcW w:w="4678" w:type="dxa"/>
          </w:tcPr>
          <w:p w14:paraId="4BBC2457" w14:textId="055EEBB7" w:rsidR="00F925AB" w:rsidRPr="00331D3E" w:rsidRDefault="00F925AB" w:rsidP="00881D1C">
            <w:pPr>
              <w:pStyle w:val="TableParagraph"/>
              <w:spacing w:line="240" w:lineRule="auto"/>
              <w:rPr>
                <w:b/>
                <w:bCs/>
              </w:rPr>
            </w:pPr>
            <w:r>
              <w:rPr>
                <w:color w:val="000000"/>
              </w:rPr>
              <w:t>10</w:t>
            </w:r>
            <w:r w:rsidRPr="00C24758">
              <w:rPr>
                <w:color w:val="000000"/>
                <w:lang w:val="en-US"/>
              </w:rPr>
              <w:t>.0</w:t>
            </w:r>
            <w:r>
              <w:rPr>
                <w:color w:val="000000"/>
              </w:rPr>
              <w:t>7</w:t>
            </w:r>
            <w:r w:rsidRPr="00C24758">
              <w:rPr>
                <w:color w:val="000000"/>
                <w:lang w:val="en-US"/>
              </w:rPr>
              <w:t>.</w:t>
            </w:r>
            <w:r w:rsidRPr="00C24758">
              <w:rPr>
                <w:color w:val="000000"/>
              </w:rPr>
              <w:t>202</w:t>
            </w:r>
            <w:r w:rsidR="009864A8">
              <w:rPr>
                <w:color w:val="000000"/>
              </w:rPr>
              <w:t>3</w:t>
            </w:r>
            <w:r w:rsidRPr="00C24758">
              <w:rPr>
                <w:color w:val="000000"/>
              </w:rPr>
              <w:t xml:space="preserve"> – </w:t>
            </w:r>
            <w:r>
              <w:rPr>
                <w:color w:val="000000"/>
              </w:rPr>
              <w:t>0</w:t>
            </w:r>
            <w:r w:rsidR="009864A8">
              <w:rPr>
                <w:color w:val="000000"/>
              </w:rPr>
              <w:t>2</w:t>
            </w:r>
            <w:r w:rsidRPr="00C24758">
              <w:rPr>
                <w:color w:val="000000"/>
                <w:lang w:val="en-US"/>
              </w:rPr>
              <w:t>.0</w:t>
            </w:r>
            <w:r>
              <w:rPr>
                <w:color w:val="000000"/>
              </w:rPr>
              <w:t>8</w:t>
            </w:r>
            <w:r w:rsidRPr="00C24758">
              <w:rPr>
                <w:color w:val="000000"/>
                <w:lang w:val="en-US"/>
              </w:rPr>
              <w:t>.</w:t>
            </w:r>
            <w:r w:rsidRPr="00C24758">
              <w:rPr>
                <w:color w:val="000000"/>
              </w:rPr>
              <w:t>202</w:t>
            </w:r>
            <w:r w:rsidR="009864A8">
              <w:rPr>
                <w:color w:val="000000"/>
              </w:rPr>
              <w:t>3</w:t>
            </w:r>
          </w:p>
        </w:tc>
      </w:tr>
      <w:tr w:rsidR="009864A8" w:rsidRPr="004E7B57" w14:paraId="4FBBDABB" w14:textId="77777777" w:rsidTr="000B1B60">
        <w:trPr>
          <w:trHeight w:val="861"/>
        </w:trPr>
        <w:tc>
          <w:tcPr>
            <w:tcW w:w="4820" w:type="dxa"/>
          </w:tcPr>
          <w:p w14:paraId="1E1EB010" w14:textId="7BD0178E" w:rsidR="009864A8" w:rsidRPr="00F925AB" w:rsidRDefault="00AB393D" w:rsidP="00F925AB">
            <w:pPr>
              <w:pStyle w:val="TableParagraph"/>
              <w:tabs>
                <w:tab w:val="left" w:pos="2477"/>
              </w:tabs>
              <w:spacing w:line="240" w:lineRule="auto"/>
              <w:rPr>
                <w:color w:val="000000"/>
              </w:rPr>
            </w:pPr>
            <w:r>
              <w:rPr>
                <w:color w:val="000000"/>
              </w:rPr>
              <w:t>1</w:t>
            </w:r>
            <w:r w:rsidR="009864A8" w:rsidRPr="003F0DAE">
              <w:rPr>
                <w:color w:val="000000"/>
                <w:vertAlign w:val="superscript"/>
              </w:rPr>
              <w:t>η</w:t>
            </w:r>
            <w:r w:rsidR="009864A8">
              <w:rPr>
                <w:color w:val="000000"/>
              </w:rPr>
              <w:t xml:space="preserve"> Απόφαση </w:t>
            </w:r>
            <w:r w:rsidR="00E3119B">
              <w:rPr>
                <w:color w:val="000000"/>
              </w:rPr>
              <w:t>Ρ.Α.Α.Ε.Υ.</w:t>
            </w:r>
            <w:r w:rsidR="009864A8">
              <w:rPr>
                <w:color w:val="000000"/>
              </w:rPr>
              <w:t xml:space="preserve"> - </w:t>
            </w:r>
            <w:r w:rsidR="00E207C1" w:rsidRPr="004E7B57">
              <w:t xml:space="preserve">Έκδοση Προσωρινού Καταλόγου </w:t>
            </w:r>
            <w:r w:rsidR="00E207C1">
              <w:t>Επιλεγέντων και</w:t>
            </w:r>
            <w:r w:rsidR="00E207C1" w:rsidRPr="004E7B57">
              <w:t xml:space="preserve"> Αποκλεισθέντων</w:t>
            </w:r>
            <w:r w:rsidR="00E207C1">
              <w:t xml:space="preserve"> Συμμετεχόντων</w:t>
            </w:r>
          </w:p>
        </w:tc>
        <w:tc>
          <w:tcPr>
            <w:tcW w:w="4678" w:type="dxa"/>
          </w:tcPr>
          <w:p w14:paraId="1A5526BD" w14:textId="32F6D04E" w:rsidR="009864A8" w:rsidRPr="003F0DAE" w:rsidRDefault="009864A8" w:rsidP="00881D1C">
            <w:pPr>
              <w:pStyle w:val="TableParagraph"/>
              <w:spacing w:line="240" w:lineRule="auto"/>
              <w:rPr>
                <w:b/>
                <w:bCs/>
                <w:color w:val="000000"/>
              </w:rPr>
            </w:pPr>
            <w:r w:rsidRPr="003F0DAE">
              <w:rPr>
                <w:b/>
                <w:bCs/>
                <w:color w:val="000000"/>
              </w:rPr>
              <w:t>03</w:t>
            </w:r>
            <w:r w:rsidRPr="003F0DAE">
              <w:rPr>
                <w:b/>
                <w:bCs/>
                <w:color w:val="000000"/>
                <w:lang w:val="en-US"/>
              </w:rPr>
              <w:t>.0</w:t>
            </w:r>
            <w:r w:rsidRPr="003F0DAE">
              <w:rPr>
                <w:b/>
                <w:bCs/>
                <w:color w:val="000000"/>
              </w:rPr>
              <w:t>8</w:t>
            </w:r>
            <w:r w:rsidRPr="003F0DAE">
              <w:rPr>
                <w:b/>
                <w:bCs/>
                <w:color w:val="000000"/>
                <w:lang w:val="en-US"/>
              </w:rPr>
              <w:t>.</w:t>
            </w:r>
            <w:r w:rsidRPr="003F0DAE">
              <w:rPr>
                <w:b/>
                <w:bCs/>
                <w:color w:val="000000"/>
              </w:rPr>
              <w:t>202</w:t>
            </w:r>
            <w:r>
              <w:rPr>
                <w:b/>
                <w:bCs/>
                <w:color w:val="000000"/>
              </w:rPr>
              <w:t>3</w:t>
            </w:r>
          </w:p>
        </w:tc>
      </w:tr>
      <w:tr w:rsidR="000546D5" w:rsidRPr="004E7B57" w14:paraId="7719BEC3" w14:textId="77777777" w:rsidTr="000B1B60">
        <w:trPr>
          <w:trHeight w:val="780"/>
        </w:trPr>
        <w:tc>
          <w:tcPr>
            <w:tcW w:w="4820" w:type="dxa"/>
          </w:tcPr>
          <w:p w14:paraId="28765C52" w14:textId="77777777" w:rsidR="000546D5" w:rsidRPr="004E7B57" w:rsidRDefault="00856EDC" w:rsidP="00881D1C">
            <w:pPr>
              <w:pStyle w:val="TableParagraph"/>
              <w:spacing w:line="240" w:lineRule="auto"/>
            </w:pPr>
            <w:r w:rsidRPr="004E7B57">
              <w:t>Υποβολή Ενστάσεων</w:t>
            </w:r>
          </w:p>
        </w:tc>
        <w:tc>
          <w:tcPr>
            <w:tcW w:w="4678" w:type="dxa"/>
          </w:tcPr>
          <w:p w14:paraId="5FC080CA" w14:textId="67BD6687" w:rsidR="000546D5" w:rsidRPr="004E7B57" w:rsidRDefault="009864A8" w:rsidP="00881D1C">
            <w:pPr>
              <w:pStyle w:val="TableParagraph"/>
              <w:spacing w:line="240" w:lineRule="auto"/>
            </w:pPr>
            <w:r>
              <w:t xml:space="preserve">04.08.2023 - </w:t>
            </w:r>
            <w:r>
              <w:rPr>
                <w:color w:val="000000"/>
              </w:rPr>
              <w:t>07</w:t>
            </w:r>
            <w:r w:rsidRPr="00C24758">
              <w:rPr>
                <w:color w:val="000000"/>
                <w:lang w:val="en-US"/>
              </w:rPr>
              <w:t>.0</w:t>
            </w:r>
            <w:r>
              <w:rPr>
                <w:color w:val="000000"/>
              </w:rPr>
              <w:t>8</w:t>
            </w:r>
            <w:r w:rsidRPr="00C24758">
              <w:rPr>
                <w:color w:val="000000"/>
                <w:lang w:val="en-US"/>
              </w:rPr>
              <w:t>.</w:t>
            </w:r>
            <w:r w:rsidRPr="00C24758">
              <w:rPr>
                <w:color w:val="000000"/>
              </w:rPr>
              <w:t>202</w:t>
            </w:r>
            <w:r>
              <w:rPr>
                <w:color w:val="000000"/>
              </w:rPr>
              <w:t xml:space="preserve">3 </w:t>
            </w:r>
            <w:r w:rsidRPr="00C24758">
              <w:rPr>
                <w:color w:val="000000"/>
              </w:rPr>
              <w:t>ώρα 15:00</w:t>
            </w:r>
          </w:p>
        </w:tc>
      </w:tr>
      <w:tr w:rsidR="009864A8" w:rsidRPr="004E7B57" w14:paraId="2E01FF66" w14:textId="77777777" w:rsidTr="000B1B60">
        <w:trPr>
          <w:trHeight w:val="780"/>
        </w:trPr>
        <w:tc>
          <w:tcPr>
            <w:tcW w:w="4820" w:type="dxa"/>
          </w:tcPr>
          <w:p w14:paraId="6A9C8804" w14:textId="63F3F684" w:rsidR="009864A8" w:rsidRPr="004E7B57" w:rsidRDefault="009864A8" w:rsidP="00881D1C">
            <w:pPr>
              <w:pStyle w:val="TableParagraph"/>
              <w:spacing w:line="240" w:lineRule="auto"/>
            </w:pPr>
            <w:r>
              <w:t>Αξιολόγηση Ενστάσεων</w:t>
            </w:r>
          </w:p>
        </w:tc>
        <w:tc>
          <w:tcPr>
            <w:tcW w:w="4678" w:type="dxa"/>
          </w:tcPr>
          <w:p w14:paraId="121AECFA" w14:textId="6EE532DC" w:rsidR="009864A8" w:rsidRDefault="009864A8" w:rsidP="00881D1C">
            <w:pPr>
              <w:pStyle w:val="TableParagraph"/>
              <w:spacing w:line="240" w:lineRule="auto"/>
            </w:pPr>
            <w:r>
              <w:rPr>
                <w:color w:val="000000"/>
              </w:rPr>
              <w:t>07</w:t>
            </w:r>
            <w:r w:rsidRPr="00C24758">
              <w:rPr>
                <w:color w:val="000000"/>
                <w:lang w:val="en-US"/>
              </w:rPr>
              <w:t>.0</w:t>
            </w:r>
            <w:r>
              <w:rPr>
                <w:color w:val="000000"/>
              </w:rPr>
              <w:t>8</w:t>
            </w:r>
            <w:r w:rsidRPr="00C24758">
              <w:rPr>
                <w:color w:val="000000"/>
                <w:lang w:val="en-US"/>
              </w:rPr>
              <w:t>.</w:t>
            </w:r>
            <w:r w:rsidRPr="00C24758">
              <w:rPr>
                <w:color w:val="000000"/>
              </w:rPr>
              <w:t>202</w:t>
            </w:r>
            <w:r>
              <w:rPr>
                <w:color w:val="000000"/>
              </w:rPr>
              <w:t>3 - 09</w:t>
            </w:r>
            <w:r w:rsidRPr="00C24758">
              <w:rPr>
                <w:color w:val="000000"/>
                <w:lang w:val="en-US"/>
              </w:rPr>
              <w:t>.0</w:t>
            </w:r>
            <w:r>
              <w:rPr>
                <w:color w:val="000000"/>
              </w:rPr>
              <w:t>8</w:t>
            </w:r>
            <w:r w:rsidRPr="00C24758">
              <w:rPr>
                <w:color w:val="000000"/>
                <w:lang w:val="en-US"/>
              </w:rPr>
              <w:t>.</w:t>
            </w:r>
            <w:r w:rsidRPr="00C24758">
              <w:rPr>
                <w:color w:val="000000"/>
              </w:rPr>
              <w:t>202</w:t>
            </w:r>
            <w:r>
              <w:rPr>
                <w:color w:val="000000"/>
              </w:rPr>
              <w:t>3</w:t>
            </w:r>
          </w:p>
        </w:tc>
      </w:tr>
      <w:tr w:rsidR="000546D5" w:rsidRPr="004E7B57" w14:paraId="5BB7D378" w14:textId="77777777" w:rsidTr="000B1B60">
        <w:trPr>
          <w:trHeight w:val="1303"/>
        </w:trPr>
        <w:tc>
          <w:tcPr>
            <w:tcW w:w="4820" w:type="dxa"/>
          </w:tcPr>
          <w:p w14:paraId="05D2C9AD" w14:textId="0B276C59" w:rsidR="000546D5" w:rsidRPr="004E7B57" w:rsidRDefault="00AB393D" w:rsidP="00881D1C">
            <w:pPr>
              <w:pStyle w:val="TableParagraph"/>
              <w:spacing w:line="240" w:lineRule="auto"/>
            </w:pPr>
            <w:r>
              <w:t>2</w:t>
            </w:r>
            <w:r w:rsidR="00EC3E87" w:rsidRPr="003F0DAE">
              <w:rPr>
                <w:vertAlign w:val="superscript"/>
              </w:rPr>
              <w:t>η</w:t>
            </w:r>
            <w:r w:rsidR="00EC3E87">
              <w:t xml:space="preserve"> </w:t>
            </w:r>
            <w:r w:rsidR="00856EDC" w:rsidRPr="004E7B57">
              <w:t xml:space="preserve">Απόφαση </w:t>
            </w:r>
            <w:r w:rsidR="00E3119B">
              <w:t>Ρ.Α.Α.Ε.Υ.</w:t>
            </w:r>
            <w:r w:rsidR="00856EDC" w:rsidRPr="004E7B57">
              <w:t xml:space="preserve"> – Οριστικά Αποτελέσματα Αξιολόγησης (Οριστικός</w:t>
            </w:r>
            <w:r w:rsidR="003D7283" w:rsidRPr="004E7B57">
              <w:t xml:space="preserve"> </w:t>
            </w:r>
            <w:r w:rsidR="00856EDC" w:rsidRPr="004E7B57">
              <w:t>Κατάλογος</w:t>
            </w:r>
            <w:r w:rsidR="00663E39" w:rsidRPr="004E7B57">
              <w:t xml:space="preserve"> </w:t>
            </w:r>
            <w:r w:rsidR="00856EDC" w:rsidRPr="004E7B57">
              <w:t>Επιλεγέντ</w:t>
            </w:r>
            <w:r w:rsidR="00663E39" w:rsidRPr="004E7B57">
              <w:t>ων</w:t>
            </w:r>
            <w:r w:rsidR="001B17F9">
              <w:t xml:space="preserve">, </w:t>
            </w:r>
            <w:r w:rsidR="00856EDC" w:rsidRPr="004E7B57">
              <w:t>Αποκλεισθέντων</w:t>
            </w:r>
            <w:r w:rsidR="001B17F9" w:rsidRPr="004E7B57">
              <w:t xml:space="preserve"> και </w:t>
            </w:r>
            <w:r w:rsidR="00663E39" w:rsidRPr="004E7B57">
              <w:t xml:space="preserve"> </w:t>
            </w:r>
            <w:r w:rsidR="001B17F9">
              <w:t>Επιλαχόντων</w:t>
            </w:r>
            <w:r w:rsidR="001B17F9" w:rsidRPr="004E7B57">
              <w:t xml:space="preserve"> </w:t>
            </w:r>
            <w:r w:rsidR="00856EDC" w:rsidRPr="004E7B57">
              <w:t>Συμμετεχόντων)</w:t>
            </w:r>
            <w:r w:rsidR="002B173E" w:rsidRPr="004E7B57">
              <w:t xml:space="preserve"> </w:t>
            </w:r>
            <w:r w:rsidR="001B17F9">
              <w:t>– Ενημέρωση Συμμετεχόντων</w:t>
            </w:r>
          </w:p>
        </w:tc>
        <w:tc>
          <w:tcPr>
            <w:tcW w:w="4678" w:type="dxa"/>
          </w:tcPr>
          <w:p w14:paraId="028FA4F4" w14:textId="6532EC31" w:rsidR="000546D5" w:rsidRPr="00715370" w:rsidRDefault="001B17F9" w:rsidP="00881D1C">
            <w:pPr>
              <w:pStyle w:val="TableParagraph"/>
              <w:spacing w:line="240" w:lineRule="auto"/>
              <w:rPr>
                <w:b/>
                <w:bCs/>
              </w:rPr>
            </w:pPr>
            <w:r w:rsidRPr="00715370">
              <w:rPr>
                <w:b/>
                <w:bCs/>
                <w:color w:val="000000"/>
              </w:rPr>
              <w:t>10</w:t>
            </w:r>
            <w:r w:rsidRPr="00715370">
              <w:rPr>
                <w:b/>
                <w:bCs/>
                <w:color w:val="000000"/>
                <w:lang w:val="en-US"/>
              </w:rPr>
              <w:t>.0</w:t>
            </w:r>
            <w:r w:rsidRPr="00715370">
              <w:rPr>
                <w:b/>
                <w:bCs/>
                <w:color w:val="000000"/>
              </w:rPr>
              <w:t>8</w:t>
            </w:r>
            <w:r w:rsidRPr="00715370">
              <w:rPr>
                <w:b/>
                <w:bCs/>
                <w:color w:val="000000"/>
                <w:lang w:val="en-US"/>
              </w:rPr>
              <w:t>.</w:t>
            </w:r>
            <w:r w:rsidRPr="00715370">
              <w:rPr>
                <w:b/>
                <w:bCs/>
                <w:color w:val="000000"/>
              </w:rPr>
              <w:t>2023</w:t>
            </w:r>
          </w:p>
        </w:tc>
      </w:tr>
    </w:tbl>
    <w:p w14:paraId="6C4EE001" w14:textId="77777777" w:rsidR="000546D5" w:rsidRDefault="000546D5" w:rsidP="00E76414"/>
    <w:p w14:paraId="168F4B67" w14:textId="77777777" w:rsidR="00881D1C" w:rsidRPr="009F4B4C" w:rsidRDefault="00881D1C" w:rsidP="00E76414">
      <w:pPr>
        <w:sectPr w:rsidR="00881D1C" w:rsidRPr="009F4B4C" w:rsidSect="003212AB">
          <w:headerReference w:type="default" r:id="rId22"/>
          <w:footerReference w:type="default" r:id="rId23"/>
          <w:type w:val="continuous"/>
          <w:pgSz w:w="11906" w:h="16838" w:code="9"/>
          <w:pgMar w:top="720" w:right="720" w:bottom="720" w:left="720" w:header="677" w:footer="0" w:gutter="0"/>
          <w:cols w:space="720"/>
          <w:docGrid w:linePitch="299"/>
        </w:sectPr>
      </w:pPr>
    </w:p>
    <w:p w14:paraId="42F31303" w14:textId="77777777" w:rsidR="00881D1C" w:rsidRPr="003D268D" w:rsidRDefault="00881D1C" w:rsidP="003D268D">
      <w:pPr>
        <w:jc w:val="center"/>
        <w:rPr>
          <w:b/>
          <w:bCs/>
        </w:rPr>
      </w:pPr>
    </w:p>
    <w:p w14:paraId="37690AD4" w14:textId="77777777" w:rsidR="000546D5" w:rsidRPr="003D268D" w:rsidRDefault="00856EDC" w:rsidP="003D268D">
      <w:pPr>
        <w:jc w:val="center"/>
        <w:rPr>
          <w:b/>
          <w:bCs/>
        </w:rPr>
      </w:pPr>
      <w:r w:rsidRPr="003D268D">
        <w:rPr>
          <w:b/>
          <w:bCs/>
        </w:rPr>
        <w:t>ΠΑΡΑΡΤΗΜΑ Β</w:t>
      </w:r>
    </w:p>
    <w:p w14:paraId="53D14B7E" w14:textId="77777777" w:rsidR="000546D5" w:rsidRPr="003D268D" w:rsidRDefault="000546D5" w:rsidP="003D268D">
      <w:pPr>
        <w:jc w:val="center"/>
        <w:rPr>
          <w:b/>
          <w:bCs/>
        </w:rPr>
      </w:pPr>
    </w:p>
    <w:p w14:paraId="1F4A10DE" w14:textId="7BFA91B1" w:rsidR="000546D5" w:rsidRPr="003D268D" w:rsidRDefault="00856EDC" w:rsidP="003D268D">
      <w:pPr>
        <w:jc w:val="center"/>
        <w:rPr>
          <w:b/>
          <w:bCs/>
        </w:rPr>
      </w:pPr>
      <w:r w:rsidRPr="003D268D">
        <w:rPr>
          <w:b/>
          <w:bCs/>
        </w:rPr>
        <w:t>Υπόδειγμα Αίτησης Συμμετοχής–</w:t>
      </w:r>
    </w:p>
    <w:p w14:paraId="7775E44B" w14:textId="3F618C60" w:rsidR="000546D5" w:rsidRPr="003D268D" w:rsidRDefault="00856EDC" w:rsidP="003D268D">
      <w:pPr>
        <w:jc w:val="center"/>
        <w:rPr>
          <w:b/>
          <w:bCs/>
        </w:rPr>
      </w:pPr>
      <w:r w:rsidRPr="003D268D">
        <w:rPr>
          <w:b/>
          <w:bCs/>
        </w:rPr>
        <w:t>Υπεύθυνη</w:t>
      </w:r>
      <w:r w:rsidR="003D47F4" w:rsidRPr="003D268D">
        <w:rPr>
          <w:b/>
          <w:bCs/>
        </w:rPr>
        <w:t>ς</w:t>
      </w:r>
      <w:r w:rsidRPr="003D268D">
        <w:rPr>
          <w:b/>
          <w:bCs/>
        </w:rPr>
        <w:t xml:space="preserve"> Δήλωση</w:t>
      </w:r>
      <w:r w:rsidR="003D47F4" w:rsidRPr="003D268D">
        <w:rPr>
          <w:b/>
          <w:bCs/>
        </w:rPr>
        <w:t>ς</w:t>
      </w:r>
    </w:p>
    <w:p w14:paraId="00C414AD" w14:textId="576614B6" w:rsidR="000546D5" w:rsidRPr="004E7B57" w:rsidRDefault="00856EDC" w:rsidP="00E76414">
      <w:r w:rsidRPr="000D19AF">
        <w:t>(παρ.</w:t>
      </w:r>
      <w:r w:rsidR="00F2748D" w:rsidRPr="000D19AF">
        <w:t xml:space="preserve"> </w:t>
      </w:r>
      <w:r w:rsidR="006018CD" w:rsidRPr="000D19AF">
        <w:t xml:space="preserve">3.3. </w:t>
      </w:r>
      <w:r w:rsidRPr="000D19AF">
        <w:t>και</w:t>
      </w:r>
      <w:r w:rsidR="006018CD" w:rsidRPr="000D19AF">
        <w:t xml:space="preserve"> 11.</w:t>
      </w:r>
      <w:r w:rsidR="00AB393D" w:rsidRPr="000D19AF">
        <w:t>2</w:t>
      </w:r>
      <w:r w:rsidR="006018CD" w:rsidRPr="000D19AF">
        <w:t>.1</w:t>
      </w:r>
      <w:r w:rsidR="00F2748D" w:rsidRPr="000D19AF">
        <w:t xml:space="preserve"> </w:t>
      </w:r>
      <w:r w:rsidRPr="000D19AF">
        <w:t>της Προκήρυξης)</w:t>
      </w:r>
    </w:p>
    <w:p w14:paraId="7D59D509" w14:textId="77777777" w:rsidR="000546D5" w:rsidRPr="004E7B57" w:rsidRDefault="000546D5" w:rsidP="00E76414">
      <w:pPr>
        <w:pStyle w:val="a3"/>
      </w:pPr>
    </w:p>
    <w:tbl>
      <w:tblPr>
        <w:tblStyle w:val="TableNormal1"/>
        <w:tblW w:w="0" w:type="auto"/>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3"/>
        <w:gridCol w:w="4276"/>
      </w:tblGrid>
      <w:tr w:rsidR="000546D5" w:rsidRPr="004E7B57" w14:paraId="695CA232" w14:textId="77777777" w:rsidTr="00881D1C">
        <w:trPr>
          <w:trHeight w:val="281"/>
        </w:trPr>
        <w:tc>
          <w:tcPr>
            <w:tcW w:w="5043" w:type="dxa"/>
          </w:tcPr>
          <w:p w14:paraId="78A34C03" w14:textId="77777777" w:rsidR="000546D5" w:rsidRPr="00D35078" w:rsidRDefault="00856EDC" w:rsidP="00D35078">
            <w:pPr>
              <w:pStyle w:val="TableParagraph"/>
              <w:spacing w:line="360" w:lineRule="auto"/>
              <w:rPr>
                <w:b/>
                <w:bCs/>
              </w:rPr>
            </w:pPr>
            <w:bookmarkStart w:id="20" w:name="_Hlk130384137"/>
            <w:r w:rsidRPr="00D35078">
              <w:rPr>
                <w:b/>
                <w:bCs/>
              </w:rPr>
              <w:t>Νομική μορφή</w:t>
            </w:r>
          </w:p>
        </w:tc>
        <w:tc>
          <w:tcPr>
            <w:tcW w:w="4276" w:type="dxa"/>
          </w:tcPr>
          <w:p w14:paraId="2BA80F38" w14:textId="77777777" w:rsidR="000546D5" w:rsidRPr="00D35078" w:rsidRDefault="00856EDC" w:rsidP="00D35078">
            <w:pPr>
              <w:pStyle w:val="TableParagraph"/>
              <w:spacing w:line="360" w:lineRule="auto"/>
              <w:rPr>
                <w:b/>
                <w:bCs/>
              </w:rPr>
            </w:pPr>
            <w:r w:rsidRPr="00D35078">
              <w:rPr>
                <w:b/>
                <w:bCs/>
              </w:rPr>
              <w:t>Επωνυμία Συμμετέχοντος</w:t>
            </w:r>
          </w:p>
        </w:tc>
      </w:tr>
      <w:tr w:rsidR="000546D5" w:rsidRPr="004E7B57" w14:paraId="7987C0F6" w14:textId="77777777" w:rsidTr="00881D1C">
        <w:trPr>
          <w:trHeight w:val="279"/>
        </w:trPr>
        <w:tc>
          <w:tcPr>
            <w:tcW w:w="5043" w:type="dxa"/>
          </w:tcPr>
          <w:p w14:paraId="21C7439D" w14:textId="77777777" w:rsidR="000546D5" w:rsidRPr="004E7B57" w:rsidRDefault="00856EDC" w:rsidP="00D35078">
            <w:pPr>
              <w:pStyle w:val="TableParagraph"/>
              <w:spacing w:line="360" w:lineRule="auto"/>
            </w:pPr>
            <w:r w:rsidRPr="004E7B57">
              <w:t>Φυσικό Πρόσωπο</w:t>
            </w:r>
          </w:p>
        </w:tc>
        <w:tc>
          <w:tcPr>
            <w:tcW w:w="4276" w:type="dxa"/>
          </w:tcPr>
          <w:p w14:paraId="7479A3A4" w14:textId="77777777" w:rsidR="000546D5" w:rsidRPr="004E7B57" w:rsidRDefault="000546D5" w:rsidP="00D35078">
            <w:pPr>
              <w:pStyle w:val="TableParagraph"/>
              <w:spacing w:line="360" w:lineRule="auto"/>
            </w:pPr>
          </w:p>
        </w:tc>
      </w:tr>
      <w:tr w:rsidR="000546D5" w:rsidRPr="004E7B57" w14:paraId="1F0E46D1" w14:textId="77777777" w:rsidTr="00881D1C">
        <w:trPr>
          <w:trHeight w:val="284"/>
        </w:trPr>
        <w:tc>
          <w:tcPr>
            <w:tcW w:w="5043" w:type="dxa"/>
          </w:tcPr>
          <w:p w14:paraId="68029D45" w14:textId="77777777" w:rsidR="000546D5" w:rsidRPr="004E7B57" w:rsidRDefault="00856EDC" w:rsidP="00D35078">
            <w:pPr>
              <w:pStyle w:val="TableParagraph"/>
              <w:spacing w:line="360" w:lineRule="auto"/>
            </w:pPr>
            <w:r w:rsidRPr="004E7B57">
              <w:t>Νομικό Πρόσωπο</w:t>
            </w:r>
          </w:p>
        </w:tc>
        <w:tc>
          <w:tcPr>
            <w:tcW w:w="4276" w:type="dxa"/>
          </w:tcPr>
          <w:p w14:paraId="47583C4E" w14:textId="77777777" w:rsidR="000546D5" w:rsidRPr="004E7B57" w:rsidRDefault="000546D5" w:rsidP="00D35078">
            <w:pPr>
              <w:pStyle w:val="TableParagraph"/>
              <w:spacing w:line="360" w:lineRule="auto"/>
            </w:pPr>
          </w:p>
        </w:tc>
      </w:tr>
      <w:tr w:rsidR="000546D5" w:rsidRPr="004E7B57" w14:paraId="23C2D8EB" w14:textId="77777777" w:rsidTr="00881D1C">
        <w:trPr>
          <w:trHeight w:val="278"/>
        </w:trPr>
        <w:tc>
          <w:tcPr>
            <w:tcW w:w="5043" w:type="dxa"/>
          </w:tcPr>
          <w:p w14:paraId="01BF8889" w14:textId="77777777" w:rsidR="000546D5" w:rsidRPr="004E7B57" w:rsidRDefault="00856EDC" w:rsidP="00D35078">
            <w:pPr>
              <w:pStyle w:val="TableParagraph"/>
              <w:spacing w:line="360" w:lineRule="auto"/>
            </w:pPr>
            <w:r w:rsidRPr="004E7B57">
              <w:t>Ανώνυμη Εταιρεία (Α.Ε.)</w:t>
            </w:r>
          </w:p>
        </w:tc>
        <w:tc>
          <w:tcPr>
            <w:tcW w:w="4276" w:type="dxa"/>
          </w:tcPr>
          <w:p w14:paraId="2BE5A39F" w14:textId="77777777" w:rsidR="000546D5" w:rsidRPr="004E7B57" w:rsidRDefault="000546D5" w:rsidP="00D35078">
            <w:pPr>
              <w:pStyle w:val="TableParagraph"/>
              <w:spacing w:line="360" w:lineRule="auto"/>
            </w:pPr>
          </w:p>
        </w:tc>
      </w:tr>
      <w:tr w:rsidR="000546D5" w:rsidRPr="004E7B57" w14:paraId="2A721F69" w14:textId="77777777" w:rsidTr="00881D1C">
        <w:trPr>
          <w:trHeight w:val="281"/>
        </w:trPr>
        <w:tc>
          <w:tcPr>
            <w:tcW w:w="5043" w:type="dxa"/>
          </w:tcPr>
          <w:p w14:paraId="050864CD" w14:textId="77777777" w:rsidR="000546D5" w:rsidRPr="004E7B57" w:rsidRDefault="00856EDC" w:rsidP="00D35078">
            <w:pPr>
              <w:pStyle w:val="TableParagraph"/>
              <w:spacing w:line="360" w:lineRule="auto"/>
            </w:pPr>
            <w:r w:rsidRPr="004E7B57">
              <w:t>Προσωπική Εταιρεία (Ο.Ε., Ε.Ε.)</w:t>
            </w:r>
          </w:p>
        </w:tc>
        <w:tc>
          <w:tcPr>
            <w:tcW w:w="4276" w:type="dxa"/>
          </w:tcPr>
          <w:p w14:paraId="2E0FAD25" w14:textId="77777777" w:rsidR="000546D5" w:rsidRPr="004E7B57" w:rsidRDefault="000546D5" w:rsidP="00D35078">
            <w:pPr>
              <w:pStyle w:val="TableParagraph"/>
              <w:spacing w:line="360" w:lineRule="auto"/>
            </w:pPr>
          </w:p>
        </w:tc>
      </w:tr>
      <w:tr w:rsidR="000546D5" w:rsidRPr="004E7B57" w14:paraId="51979F8A" w14:textId="77777777" w:rsidTr="00881D1C">
        <w:trPr>
          <w:trHeight w:val="280"/>
        </w:trPr>
        <w:tc>
          <w:tcPr>
            <w:tcW w:w="5043" w:type="dxa"/>
          </w:tcPr>
          <w:p w14:paraId="772BD71B" w14:textId="77777777" w:rsidR="000546D5" w:rsidRPr="004E7B57" w:rsidRDefault="00856EDC" w:rsidP="00D35078">
            <w:pPr>
              <w:pStyle w:val="TableParagraph"/>
              <w:spacing w:line="360" w:lineRule="auto"/>
            </w:pPr>
            <w:r w:rsidRPr="004E7B57">
              <w:t>Εταιρεία Περιορισμένης Ευθύνης (Ε.Π.Ε.)</w:t>
            </w:r>
          </w:p>
        </w:tc>
        <w:tc>
          <w:tcPr>
            <w:tcW w:w="4276" w:type="dxa"/>
          </w:tcPr>
          <w:p w14:paraId="67E83073" w14:textId="77777777" w:rsidR="000546D5" w:rsidRPr="004E7B57" w:rsidRDefault="000546D5" w:rsidP="00D35078">
            <w:pPr>
              <w:pStyle w:val="TableParagraph"/>
              <w:spacing w:line="360" w:lineRule="auto"/>
            </w:pPr>
          </w:p>
        </w:tc>
      </w:tr>
      <w:tr w:rsidR="000546D5" w:rsidRPr="004E7B57" w14:paraId="4CE4ADD8" w14:textId="77777777" w:rsidTr="00881D1C">
        <w:trPr>
          <w:trHeight w:val="281"/>
        </w:trPr>
        <w:tc>
          <w:tcPr>
            <w:tcW w:w="5043" w:type="dxa"/>
          </w:tcPr>
          <w:p w14:paraId="40D06353" w14:textId="77777777" w:rsidR="000546D5" w:rsidRPr="004E7B57" w:rsidRDefault="00856EDC" w:rsidP="00D35078">
            <w:pPr>
              <w:pStyle w:val="TableParagraph"/>
              <w:spacing w:line="360" w:lineRule="auto"/>
            </w:pPr>
            <w:r w:rsidRPr="004E7B57">
              <w:t>Ιδιωτική Κεφαλαιουχική Εταιρεία (Ι.Κ.Ε.)</w:t>
            </w:r>
          </w:p>
        </w:tc>
        <w:tc>
          <w:tcPr>
            <w:tcW w:w="4276" w:type="dxa"/>
          </w:tcPr>
          <w:p w14:paraId="157F3A1A" w14:textId="77777777" w:rsidR="000546D5" w:rsidRPr="004E7B57" w:rsidRDefault="000546D5" w:rsidP="00D35078">
            <w:pPr>
              <w:pStyle w:val="TableParagraph"/>
              <w:spacing w:line="360" w:lineRule="auto"/>
            </w:pPr>
          </w:p>
        </w:tc>
      </w:tr>
      <w:tr w:rsidR="000546D5" w:rsidRPr="004E7B57" w14:paraId="1A9292CA" w14:textId="77777777" w:rsidTr="00881D1C">
        <w:trPr>
          <w:trHeight w:val="1651"/>
        </w:trPr>
        <w:tc>
          <w:tcPr>
            <w:tcW w:w="5043" w:type="dxa"/>
          </w:tcPr>
          <w:p w14:paraId="6D512A1D" w14:textId="1D64C137" w:rsidR="000546D5" w:rsidRPr="004E7B57" w:rsidRDefault="00856EDC" w:rsidP="00D35078">
            <w:pPr>
              <w:pStyle w:val="TableParagraph"/>
              <w:spacing w:line="360" w:lineRule="auto"/>
            </w:pPr>
            <w:r w:rsidRPr="004E7B57">
              <w:t>Λοιπά Νομικά Πρόσωπα (Νομικό Πρόσωπο</w:t>
            </w:r>
            <w:r w:rsidR="00123882" w:rsidRPr="004E7B57">
              <w:t xml:space="preserve"> </w:t>
            </w:r>
            <w:r w:rsidRPr="004E7B57">
              <w:t>Δημοσίου Δικαίου (Ν.Π.Δ.Δ.), Νομικό Πρόσωπο</w:t>
            </w:r>
            <w:r w:rsidR="00123882" w:rsidRPr="004E7B57">
              <w:t xml:space="preserve"> </w:t>
            </w:r>
            <w:r w:rsidRPr="004E7B57">
              <w:t>Ιδιωτικού Δικαίου (Ν.Π.Ι.Δ.), ίδρυμα, σωματείο, συνεταιρισμός ή</w:t>
            </w:r>
            <w:r w:rsidR="00D35078">
              <w:t xml:space="preserve"> </w:t>
            </w:r>
            <w:r w:rsidRPr="004E7B57">
              <w:t>Ενεργειακή Κοινότητα</w:t>
            </w:r>
            <w:r w:rsidR="00D35078">
              <w:t xml:space="preserve"> </w:t>
            </w:r>
            <w:r w:rsidR="00FE0C0C" w:rsidRPr="004E7B57">
              <w:t>(</w:t>
            </w:r>
            <w:r w:rsidRPr="004E7B57">
              <w:t>ν. 4513/2018 (Α’ 9))</w:t>
            </w:r>
            <w:r w:rsidR="00FE0C0C" w:rsidRPr="004E7B57">
              <w:t xml:space="preserve">, Κοινότητα Ανανεώσιμης Ενέργειας (ν. 3468/2006), Κοινότητα Πολιτών (ν. 4001/2011) </w:t>
            </w:r>
          </w:p>
        </w:tc>
        <w:tc>
          <w:tcPr>
            <w:tcW w:w="4276" w:type="dxa"/>
          </w:tcPr>
          <w:p w14:paraId="5DC99CD5" w14:textId="77777777" w:rsidR="000546D5" w:rsidRPr="004E7B57" w:rsidRDefault="000546D5" w:rsidP="00D35078">
            <w:pPr>
              <w:pStyle w:val="TableParagraph"/>
              <w:spacing w:line="360" w:lineRule="auto"/>
            </w:pPr>
          </w:p>
        </w:tc>
      </w:tr>
      <w:bookmarkEnd w:id="20"/>
    </w:tbl>
    <w:p w14:paraId="728BCFB7" w14:textId="45606435" w:rsidR="00395636" w:rsidRPr="004E7B57" w:rsidRDefault="00395636" w:rsidP="00E76414"/>
    <w:p w14:paraId="1F34BBE6" w14:textId="77777777" w:rsidR="00881D1C" w:rsidRDefault="00881D1C">
      <w:pPr>
        <w:tabs>
          <w:tab w:val="clear" w:pos="1189"/>
        </w:tabs>
        <w:spacing w:after="0" w:line="240" w:lineRule="auto"/>
        <w:ind w:right="0"/>
        <w:jc w:val="left"/>
      </w:pPr>
      <w:r>
        <w:br w:type="page"/>
      </w:r>
    </w:p>
    <w:p w14:paraId="40FBC104" w14:textId="31121ECF" w:rsidR="00FB031E" w:rsidRPr="00881D1C" w:rsidRDefault="00FB031E" w:rsidP="00E76414">
      <w:pPr>
        <w:rPr>
          <w:b/>
          <w:bCs/>
        </w:rPr>
      </w:pPr>
      <w:r w:rsidRPr="00881D1C">
        <w:rPr>
          <w:b/>
          <w:bCs/>
        </w:rPr>
        <w:lastRenderedPageBreak/>
        <w:t>ΠΡΟΣ:</w:t>
      </w:r>
    </w:p>
    <w:p w14:paraId="152896E4" w14:textId="2F09961C" w:rsidR="00FB031E" w:rsidRPr="00881D1C" w:rsidRDefault="00FB031E" w:rsidP="00E76414">
      <w:pPr>
        <w:rPr>
          <w:b/>
          <w:bCs/>
        </w:rPr>
      </w:pPr>
      <w:r w:rsidRPr="00881D1C">
        <w:rPr>
          <w:b/>
          <w:bCs/>
        </w:rPr>
        <w:t xml:space="preserve">ΤΗ ΡΥΘΜΙΣΤΙΚΗ ΑΡΧΗ </w:t>
      </w:r>
      <w:r w:rsidR="00BF1FB3" w:rsidRPr="00881D1C">
        <w:rPr>
          <w:b/>
          <w:bCs/>
        </w:rPr>
        <w:t xml:space="preserve">ΑΠΟΒΛΗΤΩΝ, </w:t>
      </w:r>
      <w:r w:rsidRPr="00881D1C">
        <w:rPr>
          <w:b/>
          <w:bCs/>
        </w:rPr>
        <w:t>ΕΝΕΡΓΕΙΑΣ</w:t>
      </w:r>
      <w:r w:rsidR="00BF1FB3" w:rsidRPr="00881D1C">
        <w:rPr>
          <w:b/>
          <w:bCs/>
        </w:rPr>
        <w:t xml:space="preserve"> ΚΑΙ ΥΔΑΤΩΝ</w:t>
      </w:r>
    </w:p>
    <w:p w14:paraId="51315389" w14:textId="77777777" w:rsidR="00FB031E" w:rsidRPr="00881D1C" w:rsidRDefault="00FB031E" w:rsidP="00E76414">
      <w:pPr>
        <w:pStyle w:val="a3"/>
        <w:rPr>
          <w:b/>
          <w:bCs/>
        </w:rPr>
      </w:pPr>
    </w:p>
    <w:p w14:paraId="6C5E9D23" w14:textId="59B49C8F" w:rsidR="00FB031E" w:rsidRPr="00881D1C" w:rsidRDefault="00FB031E" w:rsidP="00E76414">
      <w:pPr>
        <w:rPr>
          <w:b/>
          <w:bCs/>
        </w:rPr>
      </w:pPr>
      <w:r w:rsidRPr="00881D1C">
        <w:rPr>
          <w:b/>
          <w:bCs/>
        </w:rPr>
        <w:t xml:space="preserve">ΑΙΤΗΣΗ ΣΥΜΜΕΤΟΧΗΣ– ΥΠΕΥΘΥΝΗ ΔΗΛΩΣΗ ΣΤΗΝ ΠΡΩΤΗ ΑΝΤΑΓΩΝΙΣΤΙΚΗ ΔΙΑΔΙΚΑΣΙΑ ΥΠΟΒΟΛΗΣ ΠΡΟΣΦΟΡΩΝ ΓΙΑ ΤΗ ΧΟΡΗΓΗΣΗ ΛΕΙΤΟΥΡΓΙΚΗΣ ΕΝΙΣΧΥΣΗΣ ΣΕ ΣΤΑΘΜΟΥΣ ΑΠΟΘΗΚΕΥΣΗΣ ΗΛΕΚΤΡΙΚΗΣ ΕΝΕΡΓΕΙΑΣ, ΣΥΜΦΩΝΑ ΜΕ ΤΗΝ ΠΑΡ. </w:t>
      </w:r>
      <w:r w:rsidR="00520D32" w:rsidRPr="00881D1C">
        <w:rPr>
          <w:b/>
          <w:bCs/>
        </w:rPr>
        <w:t>4</w:t>
      </w:r>
      <w:r w:rsidRPr="00881D1C">
        <w:rPr>
          <w:b/>
          <w:bCs/>
        </w:rPr>
        <w:t xml:space="preserve"> ΤΟΥ ΑΡΘΡΟΥ 143ΣΤ ΤΟΥ Ν. 4001/2011 (Α’ 179)</w:t>
      </w:r>
    </w:p>
    <w:p w14:paraId="04BF36EA" w14:textId="77777777" w:rsidR="00FB031E" w:rsidRPr="004E7B57" w:rsidRDefault="00FB031E" w:rsidP="00E76414">
      <w:pPr>
        <w:pStyle w:val="a3"/>
      </w:pPr>
    </w:p>
    <w:p w14:paraId="36AA5167" w14:textId="3F019E35" w:rsidR="00FB031E" w:rsidRPr="004E7B57" w:rsidRDefault="00FB031E" w:rsidP="00881D1C">
      <w:pPr>
        <w:pStyle w:val="10"/>
      </w:pPr>
      <w:r w:rsidRPr="004E7B57">
        <w:t>Τμήμα Ι : Στοιχεία Συμμετέχοντος</w:t>
      </w:r>
    </w:p>
    <w:p w14:paraId="3C1F1D2A" w14:textId="2AB00F82" w:rsidR="00FB031E" w:rsidRPr="004E7B57" w:rsidRDefault="00FB031E" w:rsidP="00715370">
      <w:pPr>
        <w:pStyle w:val="20"/>
        <w:jc w:val="left"/>
      </w:pPr>
      <w:r w:rsidRPr="004E7B57">
        <w:t xml:space="preserve">Ι.1. </w:t>
      </w:r>
      <w:r w:rsidR="000D19AF">
        <w:tab/>
      </w:r>
      <w:r w:rsidRPr="004E7B57">
        <w:t xml:space="preserve">Στοιχεία </w:t>
      </w:r>
      <w:r w:rsidR="00700038" w:rsidRPr="004E7B57">
        <w:t>Σ</w:t>
      </w:r>
      <w:r w:rsidRPr="004E7B57">
        <w:t xml:space="preserve">υμμετέχοντος φυσικού προσώπου </w:t>
      </w:r>
    </w:p>
    <w:p w14:paraId="1DF11667" w14:textId="44F53C64" w:rsidR="00FB031E" w:rsidRPr="004E7B57" w:rsidRDefault="00FB031E" w:rsidP="00E76414"/>
    <w:tbl>
      <w:tblPr>
        <w:tblStyle w:val="TableNormal1"/>
        <w:tblW w:w="0" w:type="auto"/>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5463"/>
      </w:tblGrid>
      <w:tr w:rsidR="00FB031E" w:rsidRPr="004E7B57" w14:paraId="657F907F" w14:textId="77777777" w:rsidTr="00881D1C">
        <w:trPr>
          <w:trHeight w:val="290"/>
        </w:trPr>
        <w:tc>
          <w:tcPr>
            <w:tcW w:w="3688" w:type="dxa"/>
          </w:tcPr>
          <w:p w14:paraId="15EC7437" w14:textId="58F360A1" w:rsidR="00FB031E" w:rsidRPr="004E7B57" w:rsidRDefault="00FB031E" w:rsidP="00881D1C">
            <w:pPr>
              <w:pStyle w:val="TableParagraph"/>
              <w:spacing w:line="240" w:lineRule="auto"/>
            </w:pPr>
            <w:r w:rsidRPr="004E7B57">
              <w:t>Όνομα</w:t>
            </w:r>
          </w:p>
        </w:tc>
        <w:tc>
          <w:tcPr>
            <w:tcW w:w="5463" w:type="dxa"/>
          </w:tcPr>
          <w:p w14:paraId="2B332E2F" w14:textId="5DDDDBD7" w:rsidR="00FB031E" w:rsidRPr="004E7B57" w:rsidRDefault="00FB031E" w:rsidP="00881D1C">
            <w:pPr>
              <w:pStyle w:val="TableParagraph"/>
              <w:spacing w:line="240" w:lineRule="auto"/>
            </w:pPr>
          </w:p>
        </w:tc>
      </w:tr>
      <w:tr w:rsidR="00FB031E" w:rsidRPr="004E7B57" w14:paraId="5F2085FC" w14:textId="77777777" w:rsidTr="00881D1C">
        <w:trPr>
          <w:trHeight w:val="288"/>
        </w:trPr>
        <w:tc>
          <w:tcPr>
            <w:tcW w:w="3688" w:type="dxa"/>
          </w:tcPr>
          <w:p w14:paraId="69D746A7" w14:textId="26DD379D" w:rsidR="00FB031E" w:rsidRPr="004E7B57" w:rsidRDefault="00FB031E" w:rsidP="00881D1C">
            <w:pPr>
              <w:pStyle w:val="TableParagraph"/>
              <w:spacing w:line="240" w:lineRule="auto"/>
            </w:pPr>
            <w:r w:rsidRPr="004E7B57">
              <w:t xml:space="preserve">    Επώνυμο: </w:t>
            </w:r>
          </w:p>
        </w:tc>
        <w:tc>
          <w:tcPr>
            <w:tcW w:w="5463" w:type="dxa"/>
          </w:tcPr>
          <w:p w14:paraId="02BE71CD" w14:textId="77777777" w:rsidR="00FB031E" w:rsidRPr="004E7B57" w:rsidRDefault="00FB031E" w:rsidP="00881D1C">
            <w:pPr>
              <w:pStyle w:val="TableParagraph"/>
              <w:spacing w:line="240" w:lineRule="auto"/>
            </w:pPr>
          </w:p>
        </w:tc>
      </w:tr>
      <w:tr w:rsidR="00FB031E" w:rsidRPr="004E7B57" w14:paraId="65E76C13" w14:textId="77777777" w:rsidTr="00881D1C">
        <w:trPr>
          <w:trHeight w:val="293"/>
        </w:trPr>
        <w:tc>
          <w:tcPr>
            <w:tcW w:w="3688" w:type="dxa"/>
          </w:tcPr>
          <w:p w14:paraId="7DC0FD72" w14:textId="68835307" w:rsidR="00FB031E" w:rsidRPr="004E7B57" w:rsidRDefault="00FB031E" w:rsidP="00881D1C">
            <w:pPr>
              <w:pStyle w:val="TableParagraph"/>
              <w:spacing w:line="240" w:lineRule="auto"/>
            </w:pPr>
            <w:r w:rsidRPr="004E7B57">
              <w:t xml:space="preserve">    Όνομα πατρός:</w:t>
            </w:r>
          </w:p>
        </w:tc>
        <w:tc>
          <w:tcPr>
            <w:tcW w:w="5463" w:type="dxa"/>
          </w:tcPr>
          <w:p w14:paraId="6FC7FAA5" w14:textId="77777777" w:rsidR="00FB031E" w:rsidRPr="004E7B57" w:rsidRDefault="00FB031E" w:rsidP="00881D1C">
            <w:pPr>
              <w:pStyle w:val="TableParagraph"/>
              <w:spacing w:line="240" w:lineRule="auto"/>
            </w:pPr>
          </w:p>
        </w:tc>
      </w:tr>
      <w:tr w:rsidR="00FB031E" w:rsidRPr="004E7B57" w14:paraId="625F3394" w14:textId="77777777" w:rsidTr="00881D1C">
        <w:trPr>
          <w:trHeight w:val="287"/>
        </w:trPr>
        <w:tc>
          <w:tcPr>
            <w:tcW w:w="3688" w:type="dxa"/>
          </w:tcPr>
          <w:p w14:paraId="7A29F089" w14:textId="3F676159" w:rsidR="00FB031E" w:rsidRPr="004E7B57" w:rsidRDefault="00FB031E" w:rsidP="00881D1C">
            <w:pPr>
              <w:pStyle w:val="TableParagraph"/>
              <w:spacing w:line="240" w:lineRule="auto"/>
            </w:pPr>
            <w:r w:rsidRPr="004E7B57">
              <w:t xml:space="preserve">    Τόπος και έτος γεννήσεως:</w:t>
            </w:r>
          </w:p>
        </w:tc>
        <w:tc>
          <w:tcPr>
            <w:tcW w:w="5463" w:type="dxa"/>
          </w:tcPr>
          <w:p w14:paraId="35FDBD98" w14:textId="77777777" w:rsidR="00FB031E" w:rsidRPr="004E7B57" w:rsidRDefault="00FB031E" w:rsidP="00881D1C">
            <w:pPr>
              <w:pStyle w:val="TableParagraph"/>
              <w:spacing w:line="240" w:lineRule="auto"/>
            </w:pPr>
          </w:p>
        </w:tc>
      </w:tr>
      <w:tr w:rsidR="00FB031E" w:rsidRPr="004E7B57" w14:paraId="68139593" w14:textId="77777777" w:rsidTr="00881D1C">
        <w:trPr>
          <w:trHeight w:val="65"/>
        </w:trPr>
        <w:tc>
          <w:tcPr>
            <w:tcW w:w="3688" w:type="dxa"/>
          </w:tcPr>
          <w:p w14:paraId="33D24B1E" w14:textId="2EDBB9D3" w:rsidR="00FB031E" w:rsidRPr="004E7B57" w:rsidRDefault="00FB031E" w:rsidP="00881D1C">
            <w:pPr>
              <w:pStyle w:val="TableParagraph"/>
              <w:spacing w:line="240" w:lineRule="auto"/>
            </w:pPr>
            <w:r w:rsidRPr="004E7B57">
              <w:t xml:space="preserve">    Διεύθυνση κατοικίας:</w:t>
            </w:r>
          </w:p>
        </w:tc>
        <w:tc>
          <w:tcPr>
            <w:tcW w:w="5463" w:type="dxa"/>
          </w:tcPr>
          <w:p w14:paraId="25988ADA" w14:textId="77777777" w:rsidR="00FB031E" w:rsidRPr="004E7B57" w:rsidRDefault="00FB031E" w:rsidP="00881D1C">
            <w:pPr>
              <w:pStyle w:val="TableParagraph"/>
              <w:spacing w:line="240" w:lineRule="auto"/>
            </w:pPr>
          </w:p>
        </w:tc>
      </w:tr>
      <w:tr w:rsidR="00FB031E" w:rsidRPr="004E7B57" w14:paraId="51048788" w14:textId="77777777" w:rsidTr="00881D1C">
        <w:trPr>
          <w:trHeight w:val="290"/>
        </w:trPr>
        <w:tc>
          <w:tcPr>
            <w:tcW w:w="3688" w:type="dxa"/>
          </w:tcPr>
          <w:p w14:paraId="525E1413" w14:textId="4BC68EF5" w:rsidR="00FB031E" w:rsidRPr="004E7B57" w:rsidRDefault="007F78F0" w:rsidP="00881D1C">
            <w:pPr>
              <w:pStyle w:val="TableParagraph"/>
              <w:spacing w:line="240" w:lineRule="auto"/>
            </w:pPr>
            <w:r w:rsidRPr="004E7B57">
              <w:t xml:space="preserve">    Αριθμός ταυτότητας ή διαβατηρίου:</w:t>
            </w:r>
          </w:p>
        </w:tc>
        <w:tc>
          <w:tcPr>
            <w:tcW w:w="5463" w:type="dxa"/>
          </w:tcPr>
          <w:p w14:paraId="7E34F76A" w14:textId="77777777" w:rsidR="00FB031E" w:rsidRPr="004E7B57" w:rsidRDefault="00FB031E" w:rsidP="00881D1C">
            <w:pPr>
              <w:pStyle w:val="TableParagraph"/>
              <w:spacing w:line="240" w:lineRule="auto"/>
            </w:pPr>
          </w:p>
        </w:tc>
      </w:tr>
      <w:tr w:rsidR="00FB031E" w:rsidRPr="004E7B57" w14:paraId="7A8B198E" w14:textId="77777777" w:rsidTr="00881D1C">
        <w:trPr>
          <w:trHeight w:val="375"/>
        </w:trPr>
        <w:tc>
          <w:tcPr>
            <w:tcW w:w="3688" w:type="dxa"/>
          </w:tcPr>
          <w:p w14:paraId="29862E07" w14:textId="5EB17C69" w:rsidR="00FB031E" w:rsidRPr="004E7B57" w:rsidRDefault="007F78F0" w:rsidP="00881D1C">
            <w:pPr>
              <w:pStyle w:val="TableParagraph"/>
              <w:spacing w:line="240" w:lineRule="auto"/>
            </w:pPr>
            <w:r w:rsidRPr="004E7B57">
              <w:t xml:space="preserve">   ΑΦΜ/ Δ.Ο.Υ.:</w:t>
            </w:r>
          </w:p>
        </w:tc>
        <w:tc>
          <w:tcPr>
            <w:tcW w:w="5463" w:type="dxa"/>
          </w:tcPr>
          <w:p w14:paraId="1BA09544" w14:textId="77777777" w:rsidR="00FB031E" w:rsidRPr="004E7B57" w:rsidRDefault="00FB031E" w:rsidP="00881D1C">
            <w:pPr>
              <w:pStyle w:val="TableParagraph"/>
              <w:spacing w:line="240" w:lineRule="auto"/>
            </w:pPr>
          </w:p>
        </w:tc>
      </w:tr>
      <w:tr w:rsidR="007F78F0" w:rsidRPr="004E7B57" w14:paraId="157B2F3F" w14:textId="77777777" w:rsidTr="00881D1C">
        <w:trPr>
          <w:trHeight w:val="375"/>
        </w:trPr>
        <w:tc>
          <w:tcPr>
            <w:tcW w:w="3688" w:type="dxa"/>
          </w:tcPr>
          <w:p w14:paraId="19995DCB" w14:textId="40D51622" w:rsidR="007F78F0" w:rsidRPr="004E7B57" w:rsidRDefault="007F78F0" w:rsidP="00881D1C">
            <w:pPr>
              <w:pStyle w:val="TableParagraph"/>
              <w:spacing w:line="240" w:lineRule="auto"/>
            </w:pPr>
            <w:r w:rsidRPr="004E7B57">
              <w:t xml:space="preserve">   Τηλέφωνο</w:t>
            </w:r>
            <w:r w:rsidR="00AB393D">
              <w:t>/</w:t>
            </w:r>
            <w:r w:rsidR="009F4B4C">
              <w:t>Κινητό</w:t>
            </w:r>
            <w:r w:rsidRPr="004E7B57">
              <w:t>:</w:t>
            </w:r>
          </w:p>
        </w:tc>
        <w:tc>
          <w:tcPr>
            <w:tcW w:w="5463" w:type="dxa"/>
          </w:tcPr>
          <w:p w14:paraId="2BAFE1EE" w14:textId="77777777" w:rsidR="007F78F0" w:rsidRPr="004E7B57" w:rsidRDefault="007F78F0" w:rsidP="00881D1C">
            <w:pPr>
              <w:pStyle w:val="TableParagraph"/>
              <w:spacing w:line="240" w:lineRule="auto"/>
            </w:pPr>
          </w:p>
        </w:tc>
      </w:tr>
      <w:tr w:rsidR="007F78F0" w:rsidRPr="004E7B57" w14:paraId="058F3EFA" w14:textId="77777777" w:rsidTr="00881D1C">
        <w:trPr>
          <w:trHeight w:val="375"/>
        </w:trPr>
        <w:tc>
          <w:tcPr>
            <w:tcW w:w="3688" w:type="dxa"/>
          </w:tcPr>
          <w:p w14:paraId="7C2262E7" w14:textId="44D7C3DF" w:rsidR="007F78F0" w:rsidRPr="004E7B57" w:rsidRDefault="007F78F0" w:rsidP="00881D1C">
            <w:pPr>
              <w:pStyle w:val="TableParagraph"/>
              <w:spacing w:line="240" w:lineRule="auto"/>
            </w:pPr>
            <w:r w:rsidRPr="004E7B57">
              <w:t xml:space="preserve">   </w:t>
            </w:r>
            <w:r w:rsidRPr="004E7B57">
              <w:rPr>
                <w:lang w:val="en-US"/>
              </w:rPr>
              <w:t>E-mail</w:t>
            </w:r>
            <w:r w:rsidRPr="004E7B57">
              <w:t>:</w:t>
            </w:r>
          </w:p>
        </w:tc>
        <w:tc>
          <w:tcPr>
            <w:tcW w:w="5463" w:type="dxa"/>
          </w:tcPr>
          <w:p w14:paraId="4E394169" w14:textId="77777777" w:rsidR="007F78F0" w:rsidRPr="004E7B57" w:rsidRDefault="007F78F0" w:rsidP="00881D1C">
            <w:pPr>
              <w:pStyle w:val="TableParagraph"/>
              <w:spacing w:line="240" w:lineRule="auto"/>
            </w:pPr>
          </w:p>
        </w:tc>
      </w:tr>
    </w:tbl>
    <w:p w14:paraId="2CDFEAE8" w14:textId="77777777" w:rsidR="00EF7070" w:rsidRPr="004E7B57" w:rsidRDefault="00EF7070" w:rsidP="00E76414"/>
    <w:p w14:paraId="3169624E" w14:textId="4D5E11DB" w:rsidR="00EF7070" w:rsidRPr="004E7B57" w:rsidRDefault="00EF7070" w:rsidP="00715370">
      <w:pPr>
        <w:pStyle w:val="20"/>
        <w:jc w:val="left"/>
      </w:pPr>
      <w:r w:rsidRPr="004E7B57">
        <w:t>Ι.2.</w:t>
      </w:r>
      <w:r w:rsidRPr="004E7B57">
        <w:tab/>
        <w:t>Στοιχεία Συμμετέχοντος νομικού προσώπου</w:t>
      </w:r>
    </w:p>
    <w:p w14:paraId="3FF0CF29" w14:textId="77777777" w:rsidR="00EF7070" w:rsidRPr="004E7B57" w:rsidRDefault="00EF7070" w:rsidP="00E76414"/>
    <w:tbl>
      <w:tblPr>
        <w:tblStyle w:val="TableNormal1"/>
        <w:tblW w:w="0" w:type="auto"/>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8"/>
        <w:gridCol w:w="5477"/>
      </w:tblGrid>
      <w:tr w:rsidR="00EF7070" w:rsidRPr="004E7B57" w14:paraId="69A5EACE" w14:textId="77777777" w:rsidTr="00881D1C">
        <w:trPr>
          <w:trHeight w:val="263"/>
        </w:trPr>
        <w:tc>
          <w:tcPr>
            <w:tcW w:w="3698" w:type="dxa"/>
          </w:tcPr>
          <w:p w14:paraId="4454650C" w14:textId="0D120171" w:rsidR="00EF7070" w:rsidRPr="004E7B57" w:rsidRDefault="00EF7070" w:rsidP="00881D1C">
            <w:pPr>
              <w:pStyle w:val="TableParagraph"/>
              <w:spacing w:line="240" w:lineRule="auto"/>
            </w:pPr>
            <w:r w:rsidRPr="004E7B57">
              <w:t>Επωνυμία:</w:t>
            </w:r>
          </w:p>
        </w:tc>
        <w:tc>
          <w:tcPr>
            <w:tcW w:w="5477" w:type="dxa"/>
          </w:tcPr>
          <w:p w14:paraId="74B5485C" w14:textId="77777777" w:rsidR="00EF7070" w:rsidRPr="004E7B57" w:rsidRDefault="00EF7070" w:rsidP="00881D1C">
            <w:pPr>
              <w:pStyle w:val="TableParagraph"/>
              <w:spacing w:line="240" w:lineRule="auto"/>
            </w:pPr>
          </w:p>
        </w:tc>
      </w:tr>
      <w:tr w:rsidR="00EF7070" w:rsidRPr="004E7B57" w14:paraId="05EF7147" w14:textId="77777777" w:rsidTr="00881D1C">
        <w:trPr>
          <w:trHeight w:val="261"/>
        </w:trPr>
        <w:tc>
          <w:tcPr>
            <w:tcW w:w="3698" w:type="dxa"/>
          </w:tcPr>
          <w:p w14:paraId="1D2DC491" w14:textId="44946FAC" w:rsidR="00EF7070" w:rsidRPr="004E7B57" w:rsidRDefault="00EF7070" w:rsidP="00881D1C">
            <w:pPr>
              <w:pStyle w:val="TableParagraph"/>
              <w:spacing w:line="240" w:lineRule="auto"/>
            </w:pPr>
            <w:r w:rsidRPr="004E7B57">
              <w:t xml:space="preserve">    Έδρα:</w:t>
            </w:r>
          </w:p>
        </w:tc>
        <w:tc>
          <w:tcPr>
            <w:tcW w:w="5477" w:type="dxa"/>
          </w:tcPr>
          <w:p w14:paraId="7FDABF72" w14:textId="77777777" w:rsidR="00EF7070" w:rsidRPr="004E7B57" w:rsidRDefault="00EF7070" w:rsidP="00881D1C">
            <w:pPr>
              <w:pStyle w:val="TableParagraph"/>
              <w:spacing w:line="240" w:lineRule="auto"/>
            </w:pPr>
          </w:p>
        </w:tc>
      </w:tr>
      <w:tr w:rsidR="00EF7070" w:rsidRPr="004E7B57" w14:paraId="075FBCB6" w14:textId="77777777" w:rsidTr="00881D1C">
        <w:trPr>
          <w:trHeight w:val="266"/>
        </w:trPr>
        <w:tc>
          <w:tcPr>
            <w:tcW w:w="3698" w:type="dxa"/>
          </w:tcPr>
          <w:p w14:paraId="4DD963D2" w14:textId="19DA35B8" w:rsidR="00EF7070" w:rsidRPr="004E7B57" w:rsidRDefault="00EF7070" w:rsidP="00881D1C">
            <w:pPr>
              <w:pStyle w:val="TableParagraph"/>
              <w:spacing w:line="240" w:lineRule="auto"/>
              <w:rPr>
                <w:lang w:val="en-US"/>
              </w:rPr>
            </w:pPr>
            <w:r w:rsidRPr="004E7B57">
              <w:t xml:space="preserve">    Διεύθυνση:</w:t>
            </w:r>
          </w:p>
        </w:tc>
        <w:tc>
          <w:tcPr>
            <w:tcW w:w="5477" w:type="dxa"/>
          </w:tcPr>
          <w:p w14:paraId="27D73D84" w14:textId="77777777" w:rsidR="00EF7070" w:rsidRPr="004E7B57" w:rsidRDefault="00EF7070" w:rsidP="00881D1C">
            <w:pPr>
              <w:pStyle w:val="TableParagraph"/>
              <w:spacing w:line="240" w:lineRule="auto"/>
            </w:pPr>
          </w:p>
        </w:tc>
      </w:tr>
      <w:tr w:rsidR="00EF7070" w:rsidRPr="004E7B57" w14:paraId="0EC0E386" w14:textId="77777777" w:rsidTr="00881D1C">
        <w:trPr>
          <w:trHeight w:val="260"/>
        </w:trPr>
        <w:tc>
          <w:tcPr>
            <w:tcW w:w="3698" w:type="dxa"/>
          </w:tcPr>
          <w:p w14:paraId="7ED737BA" w14:textId="05AA77C2" w:rsidR="00EF7070" w:rsidRPr="004E7B57" w:rsidRDefault="00EF7070" w:rsidP="00881D1C">
            <w:pPr>
              <w:pStyle w:val="TableParagraph"/>
              <w:spacing w:line="240" w:lineRule="auto"/>
            </w:pPr>
            <w:r w:rsidRPr="004E7B57">
              <w:t xml:space="preserve">    Νομική μορφή:</w:t>
            </w:r>
          </w:p>
        </w:tc>
        <w:tc>
          <w:tcPr>
            <w:tcW w:w="5477" w:type="dxa"/>
          </w:tcPr>
          <w:p w14:paraId="2181E1D1" w14:textId="77777777" w:rsidR="00EF7070" w:rsidRPr="004E7B57" w:rsidRDefault="00EF7070" w:rsidP="00881D1C">
            <w:pPr>
              <w:pStyle w:val="TableParagraph"/>
              <w:spacing w:line="240" w:lineRule="auto"/>
            </w:pPr>
          </w:p>
        </w:tc>
      </w:tr>
      <w:tr w:rsidR="00EF7070" w:rsidRPr="004E7B57" w14:paraId="7878F93B" w14:textId="77777777" w:rsidTr="00881D1C">
        <w:trPr>
          <w:trHeight w:val="263"/>
        </w:trPr>
        <w:tc>
          <w:tcPr>
            <w:tcW w:w="3698" w:type="dxa"/>
          </w:tcPr>
          <w:p w14:paraId="18E541EE" w14:textId="49C509ED" w:rsidR="00EF7070" w:rsidRPr="004E7B57" w:rsidRDefault="00EF7070" w:rsidP="00881D1C">
            <w:pPr>
              <w:pStyle w:val="TableParagraph"/>
              <w:spacing w:line="240" w:lineRule="auto"/>
            </w:pPr>
            <w:r w:rsidRPr="004E7B57">
              <w:t xml:space="preserve">    ΑΦΜ/ Δ.Ο.Υ.: </w:t>
            </w:r>
          </w:p>
        </w:tc>
        <w:tc>
          <w:tcPr>
            <w:tcW w:w="5477" w:type="dxa"/>
          </w:tcPr>
          <w:p w14:paraId="2E1F0E6B" w14:textId="77777777" w:rsidR="00EF7070" w:rsidRPr="004E7B57" w:rsidRDefault="00EF7070" w:rsidP="00881D1C">
            <w:pPr>
              <w:pStyle w:val="TableParagraph"/>
              <w:spacing w:line="240" w:lineRule="auto"/>
            </w:pPr>
          </w:p>
        </w:tc>
      </w:tr>
      <w:tr w:rsidR="00EF7070" w:rsidRPr="004E7B57" w14:paraId="4FF35872" w14:textId="77777777" w:rsidTr="00881D1C">
        <w:trPr>
          <w:trHeight w:val="59"/>
        </w:trPr>
        <w:tc>
          <w:tcPr>
            <w:tcW w:w="3698" w:type="dxa"/>
          </w:tcPr>
          <w:p w14:paraId="53FE4EE2" w14:textId="620CCF7D" w:rsidR="00EF7070" w:rsidRPr="004E7B57" w:rsidRDefault="00EF7070" w:rsidP="00881D1C">
            <w:pPr>
              <w:pStyle w:val="TableParagraph"/>
              <w:spacing w:line="240" w:lineRule="auto"/>
            </w:pPr>
            <w:r w:rsidRPr="004E7B57">
              <w:t xml:space="preserve">    ΓΕ.ΜΗ.:</w:t>
            </w:r>
          </w:p>
        </w:tc>
        <w:tc>
          <w:tcPr>
            <w:tcW w:w="5477" w:type="dxa"/>
          </w:tcPr>
          <w:p w14:paraId="5E251715" w14:textId="77777777" w:rsidR="00EF7070" w:rsidRPr="004E7B57" w:rsidRDefault="00EF7070" w:rsidP="00881D1C">
            <w:pPr>
              <w:pStyle w:val="TableParagraph"/>
              <w:spacing w:line="240" w:lineRule="auto"/>
            </w:pPr>
          </w:p>
        </w:tc>
      </w:tr>
      <w:tr w:rsidR="00EF7070" w:rsidRPr="004E7B57" w14:paraId="5C774A78" w14:textId="77777777" w:rsidTr="00881D1C">
        <w:trPr>
          <w:trHeight w:val="263"/>
        </w:trPr>
        <w:tc>
          <w:tcPr>
            <w:tcW w:w="3698" w:type="dxa"/>
          </w:tcPr>
          <w:p w14:paraId="4594E2C2" w14:textId="555876F1" w:rsidR="00EF7070" w:rsidRPr="004E7B57" w:rsidRDefault="00700038" w:rsidP="00881D1C">
            <w:pPr>
              <w:pStyle w:val="TableParagraph"/>
              <w:spacing w:line="240" w:lineRule="auto"/>
            </w:pPr>
            <w:r w:rsidRPr="004E7B57">
              <w:t xml:space="preserve">    Τηλέφωνο</w:t>
            </w:r>
            <w:r w:rsidR="00AB393D">
              <w:t>/</w:t>
            </w:r>
            <w:r w:rsidR="009F4B4C">
              <w:t>Κινητό</w:t>
            </w:r>
            <w:r w:rsidRPr="004E7B57">
              <w:t>:</w:t>
            </w:r>
          </w:p>
        </w:tc>
        <w:tc>
          <w:tcPr>
            <w:tcW w:w="5477" w:type="dxa"/>
          </w:tcPr>
          <w:p w14:paraId="7BCC020B" w14:textId="77777777" w:rsidR="00EF7070" w:rsidRPr="004E7B57" w:rsidRDefault="00EF7070" w:rsidP="00881D1C">
            <w:pPr>
              <w:pStyle w:val="TableParagraph"/>
              <w:spacing w:line="240" w:lineRule="auto"/>
            </w:pPr>
          </w:p>
        </w:tc>
      </w:tr>
      <w:tr w:rsidR="00EF7070" w:rsidRPr="004E7B57" w14:paraId="478683AF" w14:textId="77777777" w:rsidTr="00881D1C">
        <w:trPr>
          <w:trHeight w:val="341"/>
        </w:trPr>
        <w:tc>
          <w:tcPr>
            <w:tcW w:w="3698" w:type="dxa"/>
          </w:tcPr>
          <w:p w14:paraId="6770BBC7" w14:textId="4A6ADE20" w:rsidR="00EF7070" w:rsidRPr="004E7B57" w:rsidRDefault="00700038" w:rsidP="00881D1C">
            <w:pPr>
              <w:pStyle w:val="TableParagraph"/>
              <w:spacing w:line="240" w:lineRule="auto"/>
            </w:pPr>
            <w:r w:rsidRPr="004E7B57">
              <w:t xml:space="preserve">    </w:t>
            </w:r>
            <w:r w:rsidRPr="004E7B57">
              <w:rPr>
                <w:lang w:val="en-US"/>
              </w:rPr>
              <w:t>E-mail</w:t>
            </w:r>
            <w:r w:rsidRPr="004E7B57">
              <w:t>:</w:t>
            </w:r>
          </w:p>
        </w:tc>
        <w:tc>
          <w:tcPr>
            <w:tcW w:w="5477" w:type="dxa"/>
          </w:tcPr>
          <w:p w14:paraId="6AE0A77E" w14:textId="77777777" w:rsidR="00EF7070" w:rsidRPr="004E7B57" w:rsidRDefault="00EF7070" w:rsidP="00881D1C">
            <w:pPr>
              <w:pStyle w:val="TableParagraph"/>
              <w:spacing w:line="240" w:lineRule="auto"/>
            </w:pPr>
          </w:p>
        </w:tc>
      </w:tr>
    </w:tbl>
    <w:p w14:paraId="3B0C8084" w14:textId="77777777" w:rsidR="00881D1C" w:rsidRDefault="00881D1C" w:rsidP="00881D1C">
      <w:pPr>
        <w:pStyle w:val="20"/>
      </w:pPr>
    </w:p>
    <w:p w14:paraId="04E7C0A9" w14:textId="38033D79" w:rsidR="00700038" w:rsidRPr="004E7B57" w:rsidRDefault="00700038" w:rsidP="00715370">
      <w:pPr>
        <w:pStyle w:val="20"/>
        <w:jc w:val="left"/>
      </w:pPr>
      <w:r w:rsidRPr="004E7B57">
        <w:t>Ι.3.</w:t>
      </w:r>
      <w:r w:rsidRPr="004E7B57">
        <w:tab/>
        <w:t xml:space="preserve">Νόμιμος Εκπρόσωπος </w:t>
      </w:r>
    </w:p>
    <w:p w14:paraId="128A61AE" w14:textId="61D1FD04" w:rsidR="00EF7070" w:rsidRPr="004E7B57" w:rsidRDefault="00EF7070" w:rsidP="00E76414"/>
    <w:tbl>
      <w:tblPr>
        <w:tblStyle w:val="TableNormal1"/>
        <w:tblW w:w="0" w:type="auto"/>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3"/>
        <w:gridCol w:w="5470"/>
      </w:tblGrid>
      <w:tr w:rsidR="00700038" w:rsidRPr="004E7B57" w14:paraId="048190AA" w14:textId="77777777" w:rsidTr="00881D1C">
        <w:trPr>
          <w:trHeight w:val="282"/>
        </w:trPr>
        <w:tc>
          <w:tcPr>
            <w:tcW w:w="3693" w:type="dxa"/>
          </w:tcPr>
          <w:p w14:paraId="0EAD1FA6" w14:textId="6E0716F5" w:rsidR="00700038" w:rsidRPr="004E7B57" w:rsidRDefault="00700038" w:rsidP="00881D1C">
            <w:pPr>
              <w:pStyle w:val="TableParagraph"/>
              <w:spacing w:line="240" w:lineRule="auto"/>
            </w:pPr>
            <w:r w:rsidRPr="004E7B57">
              <w:t>Όνομα:</w:t>
            </w:r>
          </w:p>
        </w:tc>
        <w:tc>
          <w:tcPr>
            <w:tcW w:w="5470" w:type="dxa"/>
          </w:tcPr>
          <w:p w14:paraId="22A3E47F" w14:textId="77777777" w:rsidR="00700038" w:rsidRPr="004E7B57" w:rsidRDefault="00700038" w:rsidP="00881D1C">
            <w:pPr>
              <w:pStyle w:val="TableParagraph"/>
              <w:spacing w:line="240" w:lineRule="auto"/>
            </w:pPr>
          </w:p>
        </w:tc>
      </w:tr>
      <w:tr w:rsidR="00700038" w:rsidRPr="004E7B57" w14:paraId="0D7B1495" w14:textId="77777777" w:rsidTr="00881D1C">
        <w:trPr>
          <w:trHeight w:val="280"/>
        </w:trPr>
        <w:tc>
          <w:tcPr>
            <w:tcW w:w="3693" w:type="dxa"/>
          </w:tcPr>
          <w:p w14:paraId="799789E5" w14:textId="0986A4CA" w:rsidR="00700038" w:rsidRPr="004E7B57" w:rsidRDefault="00700038" w:rsidP="00881D1C">
            <w:pPr>
              <w:pStyle w:val="TableParagraph"/>
              <w:spacing w:line="240" w:lineRule="auto"/>
            </w:pPr>
            <w:r w:rsidRPr="004E7B57">
              <w:t xml:space="preserve">    Επώνυμο:</w:t>
            </w:r>
          </w:p>
        </w:tc>
        <w:tc>
          <w:tcPr>
            <w:tcW w:w="5470" w:type="dxa"/>
          </w:tcPr>
          <w:p w14:paraId="4592029D" w14:textId="77777777" w:rsidR="00700038" w:rsidRPr="004E7B57" w:rsidRDefault="00700038" w:rsidP="00881D1C">
            <w:pPr>
              <w:pStyle w:val="TableParagraph"/>
              <w:spacing w:line="240" w:lineRule="auto"/>
            </w:pPr>
          </w:p>
        </w:tc>
      </w:tr>
      <w:tr w:rsidR="00700038" w:rsidRPr="004E7B57" w14:paraId="582970F1" w14:textId="77777777" w:rsidTr="00881D1C">
        <w:trPr>
          <w:trHeight w:val="286"/>
        </w:trPr>
        <w:tc>
          <w:tcPr>
            <w:tcW w:w="3693" w:type="dxa"/>
          </w:tcPr>
          <w:p w14:paraId="45D15FE9" w14:textId="03E028A5" w:rsidR="00700038" w:rsidRPr="004E7B57" w:rsidRDefault="00700038" w:rsidP="00881D1C">
            <w:pPr>
              <w:pStyle w:val="TableParagraph"/>
              <w:spacing w:line="240" w:lineRule="auto"/>
              <w:rPr>
                <w:lang w:val="en-US"/>
              </w:rPr>
            </w:pPr>
            <w:r w:rsidRPr="004E7B57">
              <w:t xml:space="preserve">    Όνομα πατρός:</w:t>
            </w:r>
          </w:p>
        </w:tc>
        <w:tc>
          <w:tcPr>
            <w:tcW w:w="5470" w:type="dxa"/>
          </w:tcPr>
          <w:p w14:paraId="0C5947F0" w14:textId="77777777" w:rsidR="00700038" w:rsidRPr="004E7B57" w:rsidRDefault="00700038" w:rsidP="00881D1C">
            <w:pPr>
              <w:pStyle w:val="TableParagraph"/>
              <w:spacing w:line="240" w:lineRule="auto"/>
            </w:pPr>
          </w:p>
        </w:tc>
      </w:tr>
      <w:tr w:rsidR="00700038" w:rsidRPr="004E7B57" w14:paraId="163F9B26" w14:textId="77777777" w:rsidTr="00881D1C">
        <w:trPr>
          <w:trHeight w:val="279"/>
        </w:trPr>
        <w:tc>
          <w:tcPr>
            <w:tcW w:w="3693" w:type="dxa"/>
          </w:tcPr>
          <w:p w14:paraId="48DEB494" w14:textId="792A9709" w:rsidR="00700038" w:rsidRPr="004E7B57" w:rsidRDefault="00700038" w:rsidP="00881D1C">
            <w:pPr>
              <w:pStyle w:val="TableParagraph"/>
              <w:spacing w:line="240" w:lineRule="auto"/>
            </w:pPr>
            <w:r w:rsidRPr="004E7B57">
              <w:t xml:space="preserve">    Τόπος και έτος γεννήσεως:</w:t>
            </w:r>
          </w:p>
        </w:tc>
        <w:tc>
          <w:tcPr>
            <w:tcW w:w="5470" w:type="dxa"/>
          </w:tcPr>
          <w:p w14:paraId="22C2623E" w14:textId="77777777" w:rsidR="00700038" w:rsidRPr="004E7B57" w:rsidRDefault="00700038" w:rsidP="00881D1C">
            <w:pPr>
              <w:pStyle w:val="TableParagraph"/>
              <w:spacing w:line="240" w:lineRule="auto"/>
            </w:pPr>
          </w:p>
        </w:tc>
      </w:tr>
      <w:tr w:rsidR="00700038" w:rsidRPr="004E7B57" w14:paraId="2CF066BC" w14:textId="77777777" w:rsidTr="00881D1C">
        <w:trPr>
          <w:trHeight w:val="63"/>
        </w:trPr>
        <w:tc>
          <w:tcPr>
            <w:tcW w:w="3693" w:type="dxa"/>
          </w:tcPr>
          <w:p w14:paraId="76CABC31" w14:textId="0696598C" w:rsidR="00700038" w:rsidRPr="004E7B57" w:rsidRDefault="00700038" w:rsidP="00881D1C">
            <w:pPr>
              <w:pStyle w:val="TableParagraph"/>
              <w:spacing w:line="240" w:lineRule="auto"/>
            </w:pPr>
            <w:r w:rsidRPr="004E7B57">
              <w:t xml:space="preserve">    </w:t>
            </w:r>
            <w:r w:rsidR="00EE5FB5" w:rsidRPr="004E7B57">
              <w:t>Διεύθυνση κατοικίας</w:t>
            </w:r>
            <w:r w:rsidRPr="004E7B57">
              <w:t>:</w:t>
            </w:r>
          </w:p>
        </w:tc>
        <w:tc>
          <w:tcPr>
            <w:tcW w:w="5470" w:type="dxa"/>
          </w:tcPr>
          <w:p w14:paraId="5AA2A713" w14:textId="77777777" w:rsidR="00700038" w:rsidRPr="004E7B57" w:rsidRDefault="00700038" w:rsidP="00881D1C">
            <w:pPr>
              <w:pStyle w:val="TableParagraph"/>
              <w:spacing w:line="240" w:lineRule="auto"/>
            </w:pPr>
          </w:p>
        </w:tc>
      </w:tr>
      <w:tr w:rsidR="00EE5FB5" w:rsidRPr="004E7B57" w14:paraId="203FD587" w14:textId="77777777" w:rsidTr="00881D1C">
        <w:trPr>
          <w:trHeight w:val="63"/>
        </w:trPr>
        <w:tc>
          <w:tcPr>
            <w:tcW w:w="3693" w:type="dxa"/>
          </w:tcPr>
          <w:p w14:paraId="365F5645" w14:textId="7D9F7CE4" w:rsidR="00EE5FB5" w:rsidRPr="004E7B57" w:rsidRDefault="00EE5FB5" w:rsidP="00881D1C">
            <w:pPr>
              <w:pStyle w:val="TableParagraph"/>
              <w:spacing w:line="240" w:lineRule="auto"/>
            </w:pPr>
            <w:r w:rsidRPr="004E7B57">
              <w:t xml:space="preserve">    Αριθμός ταυτότητας ή διαβατηρίου:</w:t>
            </w:r>
          </w:p>
        </w:tc>
        <w:tc>
          <w:tcPr>
            <w:tcW w:w="5470" w:type="dxa"/>
          </w:tcPr>
          <w:p w14:paraId="027D695D" w14:textId="77777777" w:rsidR="00EE5FB5" w:rsidRPr="004E7B57" w:rsidRDefault="00EE5FB5" w:rsidP="00881D1C">
            <w:pPr>
              <w:pStyle w:val="TableParagraph"/>
              <w:spacing w:line="240" w:lineRule="auto"/>
            </w:pPr>
          </w:p>
        </w:tc>
      </w:tr>
      <w:tr w:rsidR="00EE5FB5" w:rsidRPr="004E7B57" w14:paraId="443D7B78" w14:textId="77777777" w:rsidTr="00881D1C">
        <w:trPr>
          <w:trHeight w:val="63"/>
        </w:trPr>
        <w:tc>
          <w:tcPr>
            <w:tcW w:w="3693" w:type="dxa"/>
          </w:tcPr>
          <w:p w14:paraId="3C27C4FA" w14:textId="5A73B66B" w:rsidR="00EE5FB5" w:rsidRPr="004E7B57" w:rsidRDefault="00EE5FB5" w:rsidP="00881D1C">
            <w:pPr>
              <w:pStyle w:val="TableParagraph"/>
              <w:spacing w:line="240" w:lineRule="auto"/>
            </w:pPr>
            <w:r w:rsidRPr="004E7B57">
              <w:t xml:space="preserve">    ΑΦΜ/ Δ.Ο.Υ.: </w:t>
            </w:r>
          </w:p>
        </w:tc>
        <w:tc>
          <w:tcPr>
            <w:tcW w:w="5470" w:type="dxa"/>
          </w:tcPr>
          <w:p w14:paraId="5CBC70BA" w14:textId="77777777" w:rsidR="00EE5FB5" w:rsidRPr="004E7B57" w:rsidRDefault="00EE5FB5" w:rsidP="00881D1C">
            <w:pPr>
              <w:pStyle w:val="TableParagraph"/>
              <w:spacing w:line="240" w:lineRule="auto"/>
            </w:pPr>
          </w:p>
        </w:tc>
      </w:tr>
      <w:tr w:rsidR="00700038" w:rsidRPr="004E7B57" w14:paraId="377B18A5" w14:textId="77777777" w:rsidTr="00881D1C">
        <w:trPr>
          <w:trHeight w:val="282"/>
        </w:trPr>
        <w:tc>
          <w:tcPr>
            <w:tcW w:w="3693" w:type="dxa"/>
          </w:tcPr>
          <w:p w14:paraId="1DA2042E" w14:textId="3048BD67" w:rsidR="00700038" w:rsidRPr="004E7B57" w:rsidRDefault="00700038" w:rsidP="00881D1C">
            <w:pPr>
              <w:pStyle w:val="TableParagraph"/>
              <w:spacing w:line="240" w:lineRule="auto"/>
            </w:pPr>
            <w:r w:rsidRPr="004E7B57">
              <w:t xml:space="preserve">    Τηλέφωνο/ </w:t>
            </w:r>
            <w:r w:rsidR="009F4B4C">
              <w:t>Κινητό</w:t>
            </w:r>
            <w:r w:rsidRPr="004E7B57">
              <w:t>:</w:t>
            </w:r>
          </w:p>
        </w:tc>
        <w:tc>
          <w:tcPr>
            <w:tcW w:w="5470" w:type="dxa"/>
          </w:tcPr>
          <w:p w14:paraId="6B870FEE" w14:textId="77777777" w:rsidR="00700038" w:rsidRPr="004E7B57" w:rsidRDefault="00700038" w:rsidP="00881D1C">
            <w:pPr>
              <w:pStyle w:val="TableParagraph"/>
              <w:spacing w:line="240" w:lineRule="auto"/>
            </w:pPr>
          </w:p>
        </w:tc>
      </w:tr>
      <w:tr w:rsidR="00700038" w:rsidRPr="004E7B57" w14:paraId="28E6A256" w14:textId="77777777" w:rsidTr="00881D1C">
        <w:trPr>
          <w:trHeight w:val="366"/>
        </w:trPr>
        <w:tc>
          <w:tcPr>
            <w:tcW w:w="3693" w:type="dxa"/>
          </w:tcPr>
          <w:p w14:paraId="086D3D19" w14:textId="77777777" w:rsidR="00700038" w:rsidRPr="004E7B57" w:rsidRDefault="00700038" w:rsidP="00881D1C">
            <w:pPr>
              <w:pStyle w:val="TableParagraph"/>
              <w:spacing w:line="240" w:lineRule="auto"/>
            </w:pPr>
            <w:r w:rsidRPr="004E7B57">
              <w:t xml:space="preserve">    </w:t>
            </w:r>
            <w:r w:rsidRPr="004E7B57">
              <w:rPr>
                <w:lang w:val="en-US"/>
              </w:rPr>
              <w:t>E-mail</w:t>
            </w:r>
            <w:r w:rsidRPr="004E7B57">
              <w:t>:</w:t>
            </w:r>
          </w:p>
        </w:tc>
        <w:tc>
          <w:tcPr>
            <w:tcW w:w="5470" w:type="dxa"/>
          </w:tcPr>
          <w:p w14:paraId="61CDA2AD" w14:textId="77777777" w:rsidR="00700038" w:rsidRPr="004E7B57" w:rsidRDefault="00700038" w:rsidP="00881D1C">
            <w:pPr>
              <w:pStyle w:val="TableParagraph"/>
              <w:spacing w:line="240" w:lineRule="auto"/>
            </w:pPr>
          </w:p>
        </w:tc>
      </w:tr>
    </w:tbl>
    <w:p w14:paraId="4FE4741E" w14:textId="77777777" w:rsidR="00EF7070" w:rsidRPr="004E7B57" w:rsidRDefault="00EF7070" w:rsidP="00E76414"/>
    <w:p w14:paraId="57B2B7EE" w14:textId="77777777" w:rsidR="000546D5" w:rsidRPr="004E7B57" w:rsidRDefault="000546D5" w:rsidP="00E76414">
      <w:pPr>
        <w:pStyle w:val="a3"/>
      </w:pPr>
    </w:p>
    <w:p w14:paraId="6E3A59B4" w14:textId="77777777" w:rsidR="000D19AF" w:rsidRDefault="000D19AF" w:rsidP="00881D1C">
      <w:pPr>
        <w:pStyle w:val="10"/>
      </w:pPr>
    </w:p>
    <w:p w14:paraId="7E471ACC" w14:textId="3F4FAA05" w:rsidR="000546D5" w:rsidRDefault="00856EDC" w:rsidP="00881D1C">
      <w:pPr>
        <w:pStyle w:val="10"/>
      </w:pPr>
      <w:r w:rsidRPr="004E7B57">
        <w:t>Τμήμα ΙΙ : Στοιχεία Μετόχων (*)</w:t>
      </w:r>
    </w:p>
    <w:p w14:paraId="6E82CA9F" w14:textId="77777777" w:rsidR="000D19AF" w:rsidRPr="004E7B57" w:rsidRDefault="000D19AF" w:rsidP="00881D1C">
      <w:pPr>
        <w:pStyle w:val="10"/>
      </w:pPr>
    </w:p>
    <w:p w14:paraId="601D701A" w14:textId="5591EBAA" w:rsidR="00EE5FB5" w:rsidRPr="004E7B57" w:rsidRDefault="00EE5FB5" w:rsidP="00715370">
      <w:pPr>
        <w:pStyle w:val="20"/>
        <w:jc w:val="left"/>
        <w:rPr>
          <w:u w:val="single"/>
        </w:rPr>
      </w:pPr>
      <w:r w:rsidRPr="004E7B57">
        <w:t>ΙΙ.1</w:t>
      </w:r>
      <w:r w:rsidRPr="004E7B57">
        <w:tab/>
        <w:t>Στοιχεία Μετόχου # φυσικού προσώπου</w:t>
      </w:r>
    </w:p>
    <w:p w14:paraId="52E48D05" w14:textId="77777777" w:rsidR="000546D5" w:rsidRPr="004E7B57" w:rsidRDefault="000546D5" w:rsidP="00E76414">
      <w:pPr>
        <w:pStyle w:val="a3"/>
      </w:pPr>
    </w:p>
    <w:p w14:paraId="2502D9C7" w14:textId="77777777" w:rsidR="000546D5" w:rsidRDefault="00856EDC" w:rsidP="00E76414">
      <w:r w:rsidRPr="004E7B57">
        <w:t>(*) μέχρι το επίπεδο φυσικού προσώπου για τους μετόχους/εταίρους νομικών προσώπων, πλην των εισηγμένων εταιρειών, των ανωνύμων εταιρειών επενδύσεων χαρτοφυλακίου και των χρηματοδοτικών εταιρειών συμμετοχών.</w:t>
      </w:r>
    </w:p>
    <w:p w14:paraId="79695C6A" w14:textId="00E6FF68" w:rsidR="000546D5" w:rsidRPr="004E7B57" w:rsidRDefault="000546D5" w:rsidP="00E76414">
      <w:pPr>
        <w:pStyle w:val="a3"/>
      </w:pPr>
    </w:p>
    <w:tbl>
      <w:tblPr>
        <w:tblStyle w:val="TableNormal1"/>
        <w:tblW w:w="111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103"/>
        <w:gridCol w:w="2007"/>
        <w:gridCol w:w="2245"/>
        <w:gridCol w:w="2007"/>
        <w:gridCol w:w="2361"/>
      </w:tblGrid>
      <w:tr w:rsidR="00520D32" w:rsidRPr="004E7B57" w14:paraId="72B0C559" w14:textId="77777777" w:rsidTr="00F1093A">
        <w:trPr>
          <w:trHeight w:val="665"/>
        </w:trPr>
        <w:tc>
          <w:tcPr>
            <w:tcW w:w="11149" w:type="dxa"/>
            <w:gridSpan w:val="6"/>
          </w:tcPr>
          <w:p w14:paraId="296A6BA8" w14:textId="478E30C8" w:rsidR="00520D32" w:rsidRPr="00F1093A" w:rsidRDefault="0098386B" w:rsidP="00881D1C">
            <w:pPr>
              <w:pStyle w:val="TableParagraph"/>
              <w:spacing w:line="240" w:lineRule="auto"/>
              <w:rPr>
                <w:rFonts w:ascii="Tahoma" w:hAnsi="Tahoma" w:cs="Tahoma"/>
                <w:b/>
                <w:bCs/>
              </w:rPr>
            </w:pPr>
            <w:r w:rsidRPr="003F0A0E">
              <w:rPr>
                <w:rFonts w:ascii="Tahoma" w:hAnsi="Tahoma" w:cs="Tahoma"/>
                <w:b/>
                <w:bCs/>
              </w:rPr>
              <w:t xml:space="preserve">ΥΠΟΒΟΛΗ ΑΔΕΙΑΣ ΑΠΟΘΗΚΕΥΣΗΣ ΚΑΙ </w:t>
            </w:r>
            <w:r w:rsidR="00520D32" w:rsidRPr="003F0A0E">
              <w:rPr>
                <w:rFonts w:ascii="Tahoma" w:hAnsi="Tahoma" w:cs="Tahoma"/>
                <w:b/>
                <w:bCs/>
              </w:rPr>
              <w:t>ΑΙΤΗΣΗ ΤΡΟΠΟΠΟΙΗΣΗ</w:t>
            </w:r>
            <w:r w:rsidR="00EE48C7" w:rsidRPr="003F0A0E">
              <w:rPr>
                <w:rFonts w:ascii="Tahoma" w:hAnsi="Tahoma" w:cs="Tahoma"/>
                <w:b/>
                <w:bCs/>
              </w:rPr>
              <w:t>Σ</w:t>
            </w:r>
            <w:r w:rsidR="00520D32" w:rsidRPr="003F0A0E">
              <w:rPr>
                <w:rFonts w:ascii="Tahoma" w:hAnsi="Tahoma" w:cs="Tahoma"/>
                <w:b/>
                <w:bCs/>
              </w:rPr>
              <w:t xml:space="preserve"> </w:t>
            </w:r>
            <w:r w:rsidR="00AD6F93" w:rsidRPr="003F0A0E">
              <w:rPr>
                <w:rFonts w:ascii="Tahoma" w:hAnsi="Tahoma" w:cs="Tahoma"/>
                <w:b/>
                <w:bCs/>
              </w:rPr>
              <w:t xml:space="preserve">ή ΚΑΤΑΤΜΗΣΗΣ </w:t>
            </w:r>
            <w:r w:rsidR="00520D32" w:rsidRPr="003F0A0E">
              <w:rPr>
                <w:rFonts w:ascii="Tahoma" w:hAnsi="Tahoma" w:cs="Tahoma"/>
                <w:b/>
                <w:bCs/>
              </w:rPr>
              <w:t>ΑΔΕΙΑΣ ΑΠΟΘΗΚΕΥΣΗΣ ΗΛΕΚΤΡΙΚΗΣ ΕΝΕΡΓΕΙΑΣ</w:t>
            </w:r>
            <w:r w:rsidR="00520D32" w:rsidRPr="00F1093A">
              <w:rPr>
                <w:rFonts w:ascii="Tahoma" w:hAnsi="Tahoma" w:cs="Tahoma"/>
                <w:b/>
                <w:bCs/>
              </w:rPr>
              <w:t xml:space="preserve"> </w:t>
            </w:r>
            <w:r w:rsidR="003F0A0E">
              <w:rPr>
                <w:rFonts w:ascii="Tahoma" w:hAnsi="Tahoma" w:cs="Tahoma"/>
                <w:b/>
                <w:bCs/>
              </w:rPr>
              <w:t>**</w:t>
            </w:r>
          </w:p>
        </w:tc>
      </w:tr>
      <w:tr w:rsidR="00520D32" w:rsidRPr="004E7B57" w14:paraId="4FFCE46C" w14:textId="77777777" w:rsidTr="00AB393D">
        <w:trPr>
          <w:trHeight w:val="536"/>
        </w:trPr>
        <w:tc>
          <w:tcPr>
            <w:tcW w:w="426" w:type="dxa"/>
            <w:vAlign w:val="center"/>
          </w:tcPr>
          <w:p w14:paraId="028FE5D1" w14:textId="7196F148" w:rsidR="00520D32" w:rsidRPr="00F1093A" w:rsidRDefault="00520D32" w:rsidP="00881D1C">
            <w:pPr>
              <w:pStyle w:val="TableParagraph"/>
              <w:spacing w:line="240" w:lineRule="auto"/>
              <w:rPr>
                <w:rFonts w:ascii="Tahoma" w:hAnsi="Tahoma" w:cs="Tahoma"/>
                <w:b/>
                <w:bCs/>
              </w:rPr>
            </w:pPr>
          </w:p>
        </w:tc>
        <w:tc>
          <w:tcPr>
            <w:tcW w:w="2103" w:type="dxa"/>
            <w:vAlign w:val="center"/>
          </w:tcPr>
          <w:p w14:paraId="7698EBD6" w14:textId="71D674EE" w:rsidR="00520D32" w:rsidRPr="00F1093A" w:rsidRDefault="00520D32" w:rsidP="00881D1C">
            <w:pPr>
              <w:pStyle w:val="TableParagraph"/>
              <w:spacing w:line="240" w:lineRule="auto"/>
              <w:rPr>
                <w:rFonts w:ascii="Tahoma" w:hAnsi="Tahoma" w:cs="Tahoma"/>
                <w:b/>
                <w:bCs/>
              </w:rPr>
            </w:pPr>
            <w:r w:rsidRPr="00F1093A">
              <w:rPr>
                <w:rFonts w:ascii="Tahoma" w:hAnsi="Tahoma" w:cs="Tahoma"/>
                <w:b/>
                <w:bCs/>
              </w:rPr>
              <w:t>Αριθμός Άδειας</w:t>
            </w:r>
          </w:p>
        </w:tc>
        <w:tc>
          <w:tcPr>
            <w:tcW w:w="2007" w:type="dxa"/>
            <w:vAlign w:val="center"/>
          </w:tcPr>
          <w:p w14:paraId="063EB8CD" w14:textId="21734B17" w:rsidR="003B02F6" w:rsidRPr="00F1093A" w:rsidRDefault="003B02F6" w:rsidP="00881D1C">
            <w:pPr>
              <w:pStyle w:val="TableParagraph"/>
              <w:spacing w:line="240" w:lineRule="auto"/>
              <w:rPr>
                <w:rFonts w:ascii="Tahoma" w:hAnsi="Tahoma" w:cs="Tahoma"/>
                <w:b/>
                <w:bCs/>
              </w:rPr>
            </w:pPr>
            <w:r w:rsidRPr="00F1093A">
              <w:rPr>
                <w:rFonts w:ascii="Tahoma" w:hAnsi="Tahoma" w:cs="Tahoma"/>
                <w:b/>
                <w:bCs/>
              </w:rPr>
              <w:t>Μέγιστη Ισχύς Έγχυσης Σ.Α.Η.Ε. Άδειας Αποθήκευσης</w:t>
            </w:r>
          </w:p>
          <w:p w14:paraId="18836064" w14:textId="45232A8E" w:rsidR="00520D32" w:rsidRPr="00F1093A" w:rsidRDefault="003B02F6" w:rsidP="00881D1C">
            <w:pPr>
              <w:pStyle w:val="TableParagraph"/>
              <w:spacing w:line="240" w:lineRule="auto"/>
              <w:rPr>
                <w:rFonts w:ascii="Tahoma" w:hAnsi="Tahoma" w:cs="Tahoma"/>
                <w:b/>
                <w:bCs/>
              </w:rPr>
            </w:pPr>
            <w:r w:rsidRPr="00F1093A">
              <w:rPr>
                <w:rFonts w:ascii="Tahoma" w:hAnsi="Tahoma" w:cs="Tahoma"/>
                <w:b/>
                <w:bCs/>
              </w:rPr>
              <w:t>(σε MW)</w:t>
            </w:r>
          </w:p>
        </w:tc>
        <w:tc>
          <w:tcPr>
            <w:tcW w:w="2245" w:type="dxa"/>
            <w:vAlign w:val="center"/>
          </w:tcPr>
          <w:p w14:paraId="51F0C9F8" w14:textId="73FAFACB" w:rsidR="003B02F6" w:rsidRPr="00F1093A" w:rsidRDefault="003B02F6" w:rsidP="00881D1C">
            <w:pPr>
              <w:pStyle w:val="TableParagraph"/>
              <w:spacing w:line="240" w:lineRule="auto"/>
              <w:rPr>
                <w:rFonts w:ascii="Tahoma" w:hAnsi="Tahoma" w:cs="Tahoma"/>
                <w:b/>
                <w:bCs/>
              </w:rPr>
            </w:pPr>
            <w:r w:rsidRPr="00F1093A">
              <w:rPr>
                <w:rFonts w:ascii="Tahoma" w:hAnsi="Tahoma" w:cs="Tahoma"/>
                <w:b/>
                <w:bCs/>
              </w:rPr>
              <w:t>Εγγυημένη Χωρητικότητα Σ.Α.Η.Ε. Άδειας Αποθήκευσης</w:t>
            </w:r>
          </w:p>
          <w:p w14:paraId="1AA4F8F6" w14:textId="376A226B" w:rsidR="00520D32" w:rsidRPr="00F1093A" w:rsidRDefault="003B02F6" w:rsidP="00881D1C">
            <w:pPr>
              <w:pStyle w:val="TableParagraph"/>
              <w:spacing w:line="240" w:lineRule="auto"/>
              <w:rPr>
                <w:rFonts w:ascii="Tahoma" w:hAnsi="Tahoma" w:cs="Tahoma"/>
                <w:b/>
                <w:bCs/>
              </w:rPr>
            </w:pPr>
            <w:r w:rsidRPr="00F1093A">
              <w:rPr>
                <w:rFonts w:ascii="Tahoma" w:hAnsi="Tahoma" w:cs="Tahoma"/>
                <w:b/>
                <w:bCs/>
              </w:rPr>
              <w:t xml:space="preserve">(σε </w:t>
            </w:r>
            <w:proofErr w:type="spellStart"/>
            <w:r w:rsidRPr="00F1093A">
              <w:rPr>
                <w:rFonts w:ascii="Tahoma" w:hAnsi="Tahoma" w:cs="Tahoma"/>
                <w:b/>
                <w:bCs/>
              </w:rPr>
              <w:t>MWh</w:t>
            </w:r>
            <w:proofErr w:type="spellEnd"/>
            <w:r w:rsidRPr="00F1093A">
              <w:rPr>
                <w:rFonts w:ascii="Tahoma" w:hAnsi="Tahoma" w:cs="Tahoma"/>
                <w:b/>
                <w:bCs/>
              </w:rPr>
              <w:t>)</w:t>
            </w:r>
          </w:p>
        </w:tc>
        <w:tc>
          <w:tcPr>
            <w:tcW w:w="2007" w:type="dxa"/>
            <w:vAlign w:val="center"/>
          </w:tcPr>
          <w:p w14:paraId="486CB8A6" w14:textId="77777777" w:rsidR="003B02F6" w:rsidRPr="00F1093A" w:rsidRDefault="003B02F6" w:rsidP="00881D1C">
            <w:pPr>
              <w:pStyle w:val="TableParagraph"/>
              <w:spacing w:line="240" w:lineRule="auto"/>
              <w:rPr>
                <w:rFonts w:ascii="Tahoma" w:hAnsi="Tahoma" w:cs="Tahoma"/>
                <w:b/>
                <w:bCs/>
              </w:rPr>
            </w:pPr>
            <w:r w:rsidRPr="00F1093A">
              <w:rPr>
                <w:rFonts w:ascii="Tahoma" w:hAnsi="Tahoma" w:cs="Tahoma"/>
                <w:b/>
                <w:bCs/>
              </w:rPr>
              <w:t>Δηλούμενη Μέγιστη Ισχύς Έγχυσης Σ.Α.Η.Ε.</w:t>
            </w:r>
          </w:p>
          <w:p w14:paraId="45EFAB9E" w14:textId="4D89D4CA" w:rsidR="00520D32" w:rsidRPr="00F1093A" w:rsidRDefault="003B02F6" w:rsidP="00881D1C">
            <w:pPr>
              <w:pStyle w:val="TableParagraph"/>
              <w:spacing w:line="240" w:lineRule="auto"/>
              <w:rPr>
                <w:rFonts w:ascii="Tahoma" w:hAnsi="Tahoma" w:cs="Tahoma"/>
                <w:b/>
                <w:bCs/>
              </w:rPr>
            </w:pPr>
            <w:r w:rsidRPr="00F1093A">
              <w:rPr>
                <w:rFonts w:ascii="Tahoma" w:hAnsi="Tahoma" w:cs="Tahoma"/>
                <w:b/>
                <w:bCs/>
              </w:rPr>
              <w:t>(σε MW)</w:t>
            </w:r>
          </w:p>
        </w:tc>
        <w:tc>
          <w:tcPr>
            <w:tcW w:w="2361" w:type="dxa"/>
            <w:vAlign w:val="center"/>
          </w:tcPr>
          <w:p w14:paraId="7843CB76" w14:textId="77FFFA45" w:rsidR="003B02F6" w:rsidRPr="00F1093A" w:rsidRDefault="003B02F6" w:rsidP="00881D1C">
            <w:pPr>
              <w:pStyle w:val="TableParagraph"/>
              <w:spacing w:line="240" w:lineRule="auto"/>
              <w:rPr>
                <w:rFonts w:ascii="Tahoma" w:hAnsi="Tahoma" w:cs="Tahoma"/>
                <w:b/>
                <w:bCs/>
              </w:rPr>
            </w:pPr>
            <w:r w:rsidRPr="00F1093A">
              <w:rPr>
                <w:rFonts w:ascii="Tahoma" w:hAnsi="Tahoma" w:cs="Tahoma"/>
                <w:b/>
                <w:bCs/>
              </w:rPr>
              <w:t>Δηλούμενη Εγγυημένη Χωρητικότητα Σ.Α.Η.Ε.</w:t>
            </w:r>
          </w:p>
          <w:p w14:paraId="1697935C" w14:textId="1B0240B9" w:rsidR="00520D32" w:rsidRPr="00F1093A" w:rsidRDefault="003B02F6" w:rsidP="00881D1C">
            <w:pPr>
              <w:pStyle w:val="TableParagraph"/>
              <w:spacing w:line="240" w:lineRule="auto"/>
              <w:rPr>
                <w:rFonts w:ascii="Tahoma" w:hAnsi="Tahoma" w:cs="Tahoma"/>
                <w:b/>
                <w:bCs/>
              </w:rPr>
            </w:pPr>
            <w:r w:rsidRPr="00F1093A">
              <w:rPr>
                <w:rFonts w:ascii="Tahoma" w:hAnsi="Tahoma" w:cs="Tahoma"/>
                <w:b/>
                <w:bCs/>
              </w:rPr>
              <w:t xml:space="preserve">(σε </w:t>
            </w:r>
            <w:proofErr w:type="spellStart"/>
            <w:r w:rsidRPr="00F1093A">
              <w:rPr>
                <w:rFonts w:ascii="Tahoma" w:hAnsi="Tahoma" w:cs="Tahoma"/>
                <w:b/>
                <w:bCs/>
              </w:rPr>
              <w:t>MWh</w:t>
            </w:r>
            <w:proofErr w:type="spellEnd"/>
            <w:r w:rsidRPr="00F1093A">
              <w:rPr>
                <w:rFonts w:ascii="Tahoma" w:hAnsi="Tahoma" w:cs="Tahoma"/>
                <w:b/>
                <w:bCs/>
              </w:rPr>
              <w:t>)</w:t>
            </w:r>
          </w:p>
        </w:tc>
      </w:tr>
      <w:tr w:rsidR="00520D32" w:rsidRPr="004E7B57" w14:paraId="00BF6ACB" w14:textId="77777777" w:rsidTr="00AB393D">
        <w:trPr>
          <w:trHeight w:val="1587"/>
        </w:trPr>
        <w:tc>
          <w:tcPr>
            <w:tcW w:w="426" w:type="dxa"/>
          </w:tcPr>
          <w:p w14:paraId="33D3DF53" w14:textId="4219C014" w:rsidR="00520D32" w:rsidRPr="004E7B57" w:rsidRDefault="00520D32" w:rsidP="00881D1C">
            <w:pPr>
              <w:pStyle w:val="TableParagraph"/>
              <w:spacing w:line="240" w:lineRule="auto"/>
            </w:pPr>
          </w:p>
        </w:tc>
        <w:tc>
          <w:tcPr>
            <w:tcW w:w="2103" w:type="dxa"/>
          </w:tcPr>
          <w:p w14:paraId="02BA1045" w14:textId="77777777" w:rsidR="00520D32" w:rsidRPr="004E7B57" w:rsidRDefault="00520D32" w:rsidP="00881D1C">
            <w:pPr>
              <w:pStyle w:val="TableParagraph"/>
              <w:spacing w:line="240" w:lineRule="auto"/>
            </w:pPr>
          </w:p>
        </w:tc>
        <w:tc>
          <w:tcPr>
            <w:tcW w:w="2007" w:type="dxa"/>
          </w:tcPr>
          <w:p w14:paraId="6DF29B3A" w14:textId="639C6ACC" w:rsidR="00520D32" w:rsidRPr="004E7B57" w:rsidRDefault="00520D32" w:rsidP="00881D1C">
            <w:pPr>
              <w:pStyle w:val="TableParagraph"/>
              <w:spacing w:line="240" w:lineRule="auto"/>
            </w:pPr>
          </w:p>
        </w:tc>
        <w:tc>
          <w:tcPr>
            <w:tcW w:w="2245" w:type="dxa"/>
          </w:tcPr>
          <w:p w14:paraId="2DD19083" w14:textId="77777777" w:rsidR="00520D32" w:rsidRPr="003F0DAE" w:rsidRDefault="00520D32" w:rsidP="00881D1C">
            <w:pPr>
              <w:pStyle w:val="TableParagraph"/>
              <w:spacing w:line="240" w:lineRule="auto"/>
              <w:rPr>
                <w:lang w:val="en-US"/>
              </w:rPr>
            </w:pPr>
          </w:p>
        </w:tc>
        <w:tc>
          <w:tcPr>
            <w:tcW w:w="2007" w:type="dxa"/>
          </w:tcPr>
          <w:p w14:paraId="5BA1CB0E" w14:textId="77777777" w:rsidR="00520D32" w:rsidRPr="004E7B57" w:rsidRDefault="00520D32" w:rsidP="00881D1C">
            <w:pPr>
              <w:pStyle w:val="TableParagraph"/>
              <w:spacing w:line="240" w:lineRule="auto"/>
            </w:pPr>
          </w:p>
        </w:tc>
        <w:tc>
          <w:tcPr>
            <w:tcW w:w="2361" w:type="dxa"/>
          </w:tcPr>
          <w:p w14:paraId="68F7AD47" w14:textId="77777777" w:rsidR="00520D32" w:rsidRPr="004E7B57" w:rsidRDefault="00520D32" w:rsidP="00881D1C">
            <w:pPr>
              <w:pStyle w:val="TableParagraph"/>
              <w:spacing w:line="240" w:lineRule="auto"/>
            </w:pPr>
          </w:p>
        </w:tc>
      </w:tr>
    </w:tbl>
    <w:p w14:paraId="38E0EA03" w14:textId="2ED84B5E" w:rsidR="00520D32" w:rsidRPr="004E7B57" w:rsidRDefault="00520D32" w:rsidP="00E76414">
      <w:pPr>
        <w:pStyle w:val="a3"/>
      </w:pPr>
    </w:p>
    <w:p w14:paraId="3AD01DC1" w14:textId="652AB414" w:rsidR="00687C89" w:rsidRPr="004E7B57" w:rsidRDefault="003F0A0E" w:rsidP="00F1093A">
      <w:r>
        <w:t xml:space="preserve">(**) </w:t>
      </w:r>
      <w:r w:rsidR="00687C89" w:rsidRPr="004E7B57">
        <w:t>Σε περίπτωση που δεν υπάρχει αίτημα τροποποίησης</w:t>
      </w:r>
      <w:r w:rsidR="00AD6F93" w:rsidRPr="004E7B57">
        <w:t xml:space="preserve"> ή κατάτμησης</w:t>
      </w:r>
      <w:r w:rsidR="00687C89" w:rsidRPr="004E7B57">
        <w:t>, δεν συμπληρώνονται</w:t>
      </w:r>
      <w:r w:rsidR="00AB393D">
        <w:t xml:space="preserve"> </w:t>
      </w:r>
      <w:r w:rsidR="00687C89" w:rsidRPr="004E7B57">
        <w:t>τα πεδία «</w:t>
      </w:r>
      <w:r w:rsidR="00AB393D">
        <w:t>Δηλούμενη Μέγιστη Ισχύς Έγχυσης Σ.Α.Η.Ε.</w:t>
      </w:r>
      <w:r w:rsidR="00687C89" w:rsidRPr="004E7B57">
        <w:t xml:space="preserve">» και </w:t>
      </w:r>
      <w:r w:rsidR="00AB393D">
        <w:t>«Δηλούμενη Εγγυημένη Χωρητικότητα</w:t>
      </w:r>
      <w:r w:rsidR="00687C89" w:rsidRPr="004E7B57">
        <w:t>».</w:t>
      </w:r>
    </w:p>
    <w:p w14:paraId="569FC7AB" w14:textId="77777777" w:rsidR="00F1093A" w:rsidRDefault="002D7BC8" w:rsidP="00F1093A">
      <w:pPr>
        <w:pStyle w:val="20"/>
      </w:pPr>
      <w:r w:rsidRPr="004E7B57">
        <w:tab/>
      </w:r>
      <w:r w:rsidRPr="004E7B57">
        <w:tab/>
      </w:r>
      <w:r w:rsidRPr="004E7B57">
        <w:tab/>
      </w:r>
      <w:r w:rsidRPr="004E7B57">
        <w:tab/>
      </w:r>
    </w:p>
    <w:p w14:paraId="21127C72" w14:textId="77777777" w:rsidR="00F1093A" w:rsidRDefault="00F1093A">
      <w:pPr>
        <w:tabs>
          <w:tab w:val="clear" w:pos="1189"/>
        </w:tabs>
        <w:spacing w:after="0" w:line="240" w:lineRule="auto"/>
        <w:ind w:right="0"/>
        <w:jc w:val="left"/>
        <w:rPr>
          <w:b/>
          <w:bCs/>
          <w:sz w:val="24"/>
          <w:szCs w:val="24"/>
        </w:rPr>
      </w:pPr>
      <w:r>
        <w:br w:type="page"/>
      </w:r>
    </w:p>
    <w:p w14:paraId="5A0B4664" w14:textId="4ABBC8C8" w:rsidR="000546D5" w:rsidRPr="00270360" w:rsidRDefault="00856EDC" w:rsidP="00270360">
      <w:pPr>
        <w:jc w:val="center"/>
        <w:rPr>
          <w:b/>
          <w:bCs/>
        </w:rPr>
      </w:pPr>
      <w:r w:rsidRPr="00270360">
        <w:rPr>
          <w:b/>
          <w:bCs/>
        </w:rPr>
        <w:lastRenderedPageBreak/>
        <w:t>Τμήμα ΙIΙ: Υπεύθυνες Δηλώσεις</w:t>
      </w:r>
    </w:p>
    <w:p w14:paraId="30151925" w14:textId="77777777" w:rsidR="007F05FD" w:rsidRPr="004E7B57" w:rsidRDefault="007F05FD" w:rsidP="00E76414"/>
    <w:p w14:paraId="7D985C24" w14:textId="0F34348F" w:rsidR="000546D5" w:rsidRPr="004E7B57" w:rsidRDefault="00856EDC" w:rsidP="00E76414">
      <w:r w:rsidRPr="004E7B57">
        <w:t>Ο</w:t>
      </w:r>
      <w:r w:rsidR="007F05FD" w:rsidRPr="004E7B57">
        <w:t>/Η</w:t>
      </w:r>
      <w:r w:rsidRPr="004E7B57">
        <w:tab/>
        <w:t>υπογράφων</w:t>
      </w:r>
      <w:r w:rsidR="007F05FD" w:rsidRPr="004E7B57">
        <w:t>/</w:t>
      </w:r>
      <w:proofErr w:type="spellStart"/>
      <w:r w:rsidR="007F05FD" w:rsidRPr="004E7B57">
        <w:t>ουσα</w:t>
      </w:r>
      <w:proofErr w:type="spellEnd"/>
      <w:r w:rsidR="007F05FD" w:rsidRPr="004E7B57">
        <w:t xml:space="preserve"> </w:t>
      </w:r>
      <w:r w:rsidRPr="004E7B57">
        <w:t>την</w:t>
      </w:r>
      <w:r w:rsidRPr="004E7B57">
        <w:tab/>
        <w:t>παρούσα</w:t>
      </w:r>
      <w:r w:rsidR="007F05FD" w:rsidRPr="004E7B57">
        <w:t xml:space="preserve"> </w:t>
      </w:r>
      <w:r w:rsidRPr="004E7B57">
        <w:t>………………………….………………</w:t>
      </w:r>
      <w:r w:rsidR="002D7BC8" w:rsidRPr="004E7B57">
        <w:t>…………..</w:t>
      </w:r>
      <w:r w:rsidRPr="004E7B57">
        <w:tab/>
        <w:t>κάτοικος</w:t>
      </w:r>
      <w:r w:rsidR="002D7BC8" w:rsidRPr="004E7B57">
        <w:t>……………………………………………………………………….</w:t>
      </w:r>
    </w:p>
    <w:p w14:paraId="358B4CAA" w14:textId="0C9F7829" w:rsidR="000546D5" w:rsidRPr="004E7B57" w:rsidRDefault="00856EDC" w:rsidP="00E76414">
      <w:r w:rsidRPr="004E7B57">
        <w:t>……………..</w:t>
      </w:r>
      <w:r w:rsidR="002D7BC8" w:rsidRPr="004E7B57">
        <w:t xml:space="preserve"> </w:t>
      </w:r>
      <w:r w:rsidRPr="004E7B57">
        <w:t>(οδός/</w:t>
      </w:r>
      <w:proofErr w:type="spellStart"/>
      <w:r w:rsidRPr="004E7B57">
        <w:t>αριθ</w:t>
      </w:r>
      <w:proofErr w:type="spellEnd"/>
      <w:r w:rsidRPr="004E7B57">
        <w:t>)……………………………………..,</w:t>
      </w:r>
      <w:r w:rsidR="002D7BC8" w:rsidRPr="004E7B57">
        <w:t xml:space="preserve"> </w:t>
      </w:r>
      <w:r w:rsidRPr="004E7B57">
        <w:t>κάτοχο</w:t>
      </w:r>
      <w:r w:rsidR="002D7BC8" w:rsidRPr="004E7B57">
        <w:t xml:space="preserve">ς </w:t>
      </w:r>
      <w:r w:rsidRPr="004E7B57">
        <w:t>του</w:t>
      </w:r>
      <w:r w:rsidR="002D7BC8" w:rsidRPr="004E7B57">
        <w:t xml:space="preserve"> </w:t>
      </w:r>
      <w:r w:rsidRPr="004E7B57">
        <w:t>Δελτίου Αστυνομικής Ταυτότητας με τον αριθμό   ……………………………, που εκδόθηκε από</w:t>
      </w:r>
      <w:r w:rsidR="002D7BC8" w:rsidRPr="004E7B57">
        <w:t xml:space="preserve">………………………………………….. </w:t>
      </w:r>
      <w:r w:rsidRPr="004E7B57">
        <w:t>στις ………………………, νόμιμος εκπρόσωπος της ανώνυμης εταιρείας (A.E.) / της εταιρείας περιορισμένης ευθύνης (E.Π.Ε.)/ της ομόρρυθμης εταιρείας (O.E.) / της ετερόρρυθμης εταιρείας (E.E.) / της ιδιωτικής κεφαλαιουχικής εταιρείας (I.K.E.) / του νομικού προσώπου δημοσίου / ιδιωτικού δικαίου (Ν.Π.Δ.Δ. / Ν.Π.Ι.Δ.) / του συνεταιρισμού/ της Ενεργειακής Κοινότητας</w:t>
      </w:r>
      <w:r w:rsidR="00520D32" w:rsidRPr="004E7B57">
        <w:t xml:space="preserve">/ </w:t>
      </w:r>
      <w:bookmarkStart w:id="21" w:name="_Hlk134992938"/>
      <w:r w:rsidR="00520D32" w:rsidRPr="004E7B57">
        <w:t xml:space="preserve">Κοινότητα Ανανεώσιμης Ενέργειας/ Ενεργειακή Κοινότητα Πολιτών </w:t>
      </w:r>
      <w:r w:rsidRPr="004E7B57">
        <w:t xml:space="preserve"> </w:t>
      </w:r>
      <w:bookmarkEnd w:id="21"/>
      <w:r w:rsidRPr="004E7B57">
        <w:t>με την επωνυμία……………………………και το διακριτικό τίτλο</w:t>
      </w:r>
      <w:r w:rsidR="002D7BC8" w:rsidRPr="004E7B57">
        <w:t>………………………..</w:t>
      </w:r>
      <w:r w:rsidRPr="004E7B57">
        <w:tab/>
        <w:t>(</w:t>
      </w:r>
      <w:proofErr w:type="spellStart"/>
      <w:r w:rsidRPr="004E7B57">
        <w:t>Αρ</w:t>
      </w:r>
      <w:proofErr w:type="spellEnd"/>
      <w:r w:rsidRPr="004E7B57">
        <w:t>.</w:t>
      </w:r>
      <w:r w:rsidR="002D7BC8" w:rsidRPr="004E7B57">
        <w:t xml:space="preserve"> </w:t>
      </w:r>
      <w:r w:rsidRPr="004E7B57">
        <w:t>Γ.Ε.ΜΗ .......................) δυνάμει της από</w:t>
      </w:r>
      <w:r w:rsidR="002D7BC8" w:rsidRPr="004E7B57">
        <w:t>…………………………….</w:t>
      </w:r>
      <w:r w:rsidRPr="004E7B57">
        <w:t>απόφασης του Διοικητικού Συμβουλίου (ή του/ων</w:t>
      </w:r>
      <w:r w:rsidR="002D7BC8" w:rsidRPr="004E7B57">
        <w:t xml:space="preserve"> </w:t>
      </w:r>
      <w:proofErr w:type="spellStart"/>
      <w:r w:rsidRPr="004E7B57">
        <w:t>Διαχειριστού</w:t>
      </w:r>
      <w:proofErr w:type="spellEnd"/>
      <w:r w:rsidRPr="004E7B57">
        <w:t>/ων αυτής), Συμμετέχουσας/</w:t>
      </w:r>
      <w:proofErr w:type="spellStart"/>
      <w:r w:rsidRPr="004E7B57">
        <w:t>οντος</w:t>
      </w:r>
      <w:proofErr w:type="spellEnd"/>
      <w:r w:rsidRPr="004E7B57">
        <w:t xml:space="preserve"> στην υπ’ αριθ. </w:t>
      </w:r>
      <w:r w:rsidR="00AB393D">
        <w:t>1/</w:t>
      </w:r>
      <w:r w:rsidR="006018CD" w:rsidRPr="004E7B57">
        <w:t xml:space="preserve">2023 </w:t>
      </w:r>
      <w:r w:rsidRPr="004E7B57">
        <w:rPr>
          <w:b/>
          <w:bCs/>
        </w:rPr>
        <w:t xml:space="preserve">Ανταγωνιστική Διαδικασία υποβολής προσφορών της </w:t>
      </w:r>
      <w:r w:rsidR="00CF21E9" w:rsidRPr="004E7B57">
        <w:rPr>
          <w:b/>
          <w:bCs/>
        </w:rPr>
        <w:t>Ρ.Α.Α.Ε.Υ.</w:t>
      </w:r>
      <w:r w:rsidRPr="004E7B57">
        <w:t xml:space="preserve"> για</w:t>
      </w:r>
      <w:r w:rsidR="002D7BC8" w:rsidRPr="004E7B57">
        <w:t xml:space="preserve"> </w:t>
      </w:r>
      <w:r w:rsidR="007F05FD" w:rsidRPr="004E7B57">
        <w:t xml:space="preserve">τη χορήγηση επενδυτικής και λειτουργικής ενίσχυσης σε σταθμούς αποθήκευσης ηλεκτρικής ενέργειας, σύμφωνα με την παρ. </w:t>
      </w:r>
      <w:r w:rsidR="00C738FC" w:rsidRPr="004E7B57">
        <w:t>4</w:t>
      </w:r>
      <w:r w:rsidR="007F05FD" w:rsidRPr="004E7B57">
        <w:t xml:space="preserve"> του άρθρου 143στ του ν. 4001/2011 (Α’ 179)</w:t>
      </w:r>
      <w:r w:rsidRPr="004E7B57">
        <w:t>, δηλώνω, σύμφωνα με το άρθρο 8 του ν. 1599/1986 (Α’ 75), έχοντας πλήρη γνώση των συνεπειών της δήλωσής μου αυτής, όπως οι συνέπειες αυτές ορίζονται στις γενικές περί υπευθύνων δηλώσεων διατάξεις, και γνωρίζοντας τις κυρώσεις, που προβλέπονται από τις διατάξεις της παρ. 6 του άρθρου 22 του ν. 1599/1986, τα ακόλουθα:</w:t>
      </w:r>
    </w:p>
    <w:p w14:paraId="3C08E748" w14:textId="706867D1" w:rsidR="000546D5" w:rsidRPr="004E7B57" w:rsidRDefault="00856EDC" w:rsidP="00E67595">
      <w:pPr>
        <w:pStyle w:val="a4"/>
        <w:numPr>
          <w:ilvl w:val="0"/>
          <w:numId w:val="1"/>
        </w:numPr>
        <w:ind w:left="284"/>
      </w:pPr>
      <w:r w:rsidRPr="004E7B57">
        <w:t>Η διεύθυνση ηλεκτρονικού ταχυδρομείου (e-</w:t>
      </w:r>
      <w:proofErr w:type="spellStart"/>
      <w:r w:rsidRPr="004E7B57">
        <w:t>mail</w:t>
      </w:r>
      <w:proofErr w:type="spellEnd"/>
      <w:r w:rsidRPr="004E7B57">
        <w:t xml:space="preserve">), η οποία αποτελεί την ηλεκτρονική διεύθυνση για την υποβολή ερωτημάτων / αιτημάτων παροχής διευκρινίσεων από τη </w:t>
      </w:r>
      <w:r w:rsidR="00CF21E9" w:rsidRPr="004E7B57">
        <w:t>Ρ.Α.Α.Ε.Υ.</w:t>
      </w:r>
      <w:r w:rsidRPr="004E7B57">
        <w:t xml:space="preserve">, ενστάσεων, διευκρινιστικών στοιχείων, απόψεων κ.λπ. από τον Συμμετέχοντα, την ενημέρωση και για την εν γένει επικοινωνία του Συμμετέχοντος με τη </w:t>
      </w:r>
      <w:r w:rsidR="00CF21E9" w:rsidRPr="004E7B57">
        <w:t>Ρ.Α.Α.Ε.Υ.</w:t>
      </w:r>
      <w:r w:rsidRPr="004E7B57">
        <w:t xml:space="preserve"> καθ' όλο το διάστημα διενέργειας της Ανταγωνιστικής Διαδικασίας, είναι η …...............@...........</w:t>
      </w:r>
    </w:p>
    <w:p w14:paraId="015BB725" w14:textId="77777777" w:rsidR="000546D5" w:rsidRPr="004E7B57" w:rsidRDefault="00856EDC" w:rsidP="00E67595">
      <w:pPr>
        <w:pStyle w:val="a4"/>
        <w:numPr>
          <w:ilvl w:val="0"/>
          <w:numId w:val="1"/>
        </w:numPr>
        <w:tabs>
          <w:tab w:val="clear" w:pos="1189"/>
        </w:tabs>
        <w:ind w:left="284"/>
      </w:pPr>
      <w:r w:rsidRPr="004E7B57">
        <w:rPr>
          <w:b/>
        </w:rPr>
        <w:t xml:space="preserve">α. </w:t>
      </w:r>
      <w:r w:rsidRPr="004E7B57">
        <w:t>Αποδέχομαι ανεπιφύλακτα όλους τους όρους της Προκήρυξης και των Παραρτημάτων αυτής.</w:t>
      </w:r>
    </w:p>
    <w:p w14:paraId="368DAB15" w14:textId="6C17F230" w:rsidR="000546D5" w:rsidRPr="004E7B57" w:rsidRDefault="00856EDC" w:rsidP="00F1093A">
      <w:pPr>
        <w:ind w:left="284"/>
      </w:pPr>
      <w:r w:rsidRPr="004E7B57">
        <w:rPr>
          <w:b/>
        </w:rPr>
        <w:t xml:space="preserve">β. </w:t>
      </w:r>
      <w:r w:rsidRPr="004E7B57">
        <w:t>Όλα τα στοιχεία που υποβάλλονται είναι αληθή και το σύνολο των υποβληθέντων αδειών, εγκρίσεων, συμβάσεων κ.λπ. τυπικών δικαιολογητικών δεν έχουν</w:t>
      </w:r>
      <w:r w:rsidR="00570DFE" w:rsidRPr="004E7B57">
        <w:t xml:space="preserve"> </w:t>
      </w:r>
      <w:r w:rsidRPr="004E7B57">
        <w:t>ακυρωθεί και είναι σε ισχύ κατά την ημερομηνία υποβολής της Αίτησης Συμμετοχής– Υπεύθυνης Δήλωσης και έχω/έχει το νομικό πρόσωπο που εκπροσωπώ τηρήσει τους όρους αυτών.</w:t>
      </w:r>
    </w:p>
    <w:p w14:paraId="55943941" w14:textId="35F564CF" w:rsidR="000546D5" w:rsidRPr="004E7B57" w:rsidRDefault="00856EDC" w:rsidP="00F1093A">
      <w:pPr>
        <w:ind w:left="284"/>
      </w:pPr>
      <w:r w:rsidRPr="004E7B57">
        <w:rPr>
          <w:b/>
        </w:rPr>
        <w:t xml:space="preserve">γ. </w:t>
      </w:r>
      <w:r w:rsidRPr="004E7B57">
        <w:t>(</w:t>
      </w:r>
      <w:r w:rsidRPr="004E7B57">
        <w:rPr>
          <w:i/>
        </w:rPr>
        <w:t>σε περίπτωση νομικού προσώπου</w:t>
      </w:r>
      <w:r w:rsidRPr="004E7B57">
        <w:t>) Δεν έχουν γίνει άλλες τροποποιήσεις στο Καταστατικό/Ιδρυτική Πράξη του νομικού προσώπου που εκπροσωπώ, εκτός όσων αναφέρονται στα σχετικά υποβληθέντα δικαιολογητικά και πιστοποιητικά, β)</w:t>
      </w:r>
      <w:r w:rsidR="00570DFE" w:rsidRPr="004E7B57">
        <w:t xml:space="preserve"> </w:t>
      </w:r>
      <w:r w:rsidRPr="004E7B57">
        <w:t>η</w:t>
      </w:r>
      <w:r w:rsidR="00570DFE" w:rsidRPr="004E7B57">
        <w:t xml:space="preserve"> </w:t>
      </w:r>
      <w:r w:rsidRPr="004E7B57">
        <w:t>σύνθεση του Δ.Σ., η συγκρότησή του σε σώμα και οι αρμοδιότητες</w:t>
      </w:r>
      <w:r w:rsidR="0053610E" w:rsidRPr="004E7B57">
        <w:t xml:space="preserve"> </w:t>
      </w:r>
      <w:r w:rsidRPr="004E7B57">
        <w:t>και εξουσίες των εκπροσώπων της εταιρείας που εκπροσωπώ είναι πράγματι αυτές που αναφέρονται στα υποβληθέντα δικαιολογητικά και γ) ο διαχειριστής παραμένει αυτός που ορίσθηκε από το Καταστατικό/Ιδρυτική Πράξη του νομικού προσώπου,</w:t>
      </w:r>
      <w:r w:rsidR="00570DFE" w:rsidRPr="004E7B57">
        <w:t xml:space="preserve"> </w:t>
      </w:r>
      <w:r w:rsidRPr="004E7B57">
        <w:t>δεν έχει ανακληθεί και οι αρμοδιότητές του για την εκπροσώπηση και διαχείριση του νομικού προσώπου παραμένουν οι ίδιες.</w:t>
      </w:r>
    </w:p>
    <w:p w14:paraId="32655AC4" w14:textId="22291897" w:rsidR="000546D5" w:rsidRPr="004E7B57" w:rsidRDefault="00856EDC" w:rsidP="00F1093A">
      <w:pPr>
        <w:ind w:left="284"/>
      </w:pPr>
      <w:r w:rsidRPr="004E7B57">
        <w:rPr>
          <w:b/>
        </w:rPr>
        <w:t xml:space="preserve">δ. </w:t>
      </w:r>
      <w:r w:rsidRPr="004E7B57">
        <w:t>Δεν έχω καταδικασθεί / Δεν έχω και δεν έχουν τα πρόσωπα που διοικούν το νομικό πρόσωπο, που εκπροσωπώ, καταδικασθεί με αμετάκλητη απόφαση ελληνικού ή</w:t>
      </w:r>
      <w:r w:rsidR="00570DFE" w:rsidRPr="004E7B57">
        <w:t xml:space="preserve"> </w:t>
      </w:r>
      <w:r w:rsidRPr="004E7B57">
        <w:t>αλλοδαπού δικαστηρίου για αδικήματα, που επιφέρουν τον αποκλεισμό τους από τη συμμετοχή στην Ανταγωνιστική Διαδικασία και ειδικότερα:</w:t>
      </w:r>
    </w:p>
    <w:p w14:paraId="7557D71C" w14:textId="77777777" w:rsidR="000546D5" w:rsidRPr="004E7B57" w:rsidRDefault="00856EDC" w:rsidP="00F1093A">
      <w:pPr>
        <w:ind w:left="567"/>
      </w:pPr>
      <w:r w:rsidRPr="004E7B57">
        <w:t>δ1. Συμμετοχή σε εγκληματική οργάνωση, κατά το άρθρο 2 παράγραφος 1 της κοινής δράσης της 98/773/ΔΕΥ του Συμβουλίου της Ευρωπαϊκής Ένωσης της 21</w:t>
      </w:r>
      <w:r w:rsidRPr="004E7B57">
        <w:rPr>
          <w:vertAlign w:val="superscript"/>
        </w:rPr>
        <w:t>ης</w:t>
      </w:r>
      <w:r w:rsidRPr="004E7B57">
        <w:t xml:space="preserve"> Δεκεμβρίου 1998.</w:t>
      </w:r>
    </w:p>
    <w:p w14:paraId="45E43912" w14:textId="77777777" w:rsidR="000546D5" w:rsidRPr="004E7B57" w:rsidRDefault="00856EDC" w:rsidP="00F1093A">
      <w:pPr>
        <w:ind w:left="567"/>
      </w:pPr>
      <w:r w:rsidRPr="004E7B57">
        <w:t>δ2. Δωροδοκία, κατά το άρθρο 3 της πράξης του Συμβουλίου της 26ης Μαΐου 1997(21) και στο άρθρο 3 παράγραφος 1 της κοινής δράσης 98/742/ΚΕΠΠΑ του Συμβουλίου.</w:t>
      </w:r>
    </w:p>
    <w:p w14:paraId="5F6E3098" w14:textId="1DA125F6" w:rsidR="000546D5" w:rsidRPr="004E7B57" w:rsidRDefault="00856EDC" w:rsidP="00F1093A">
      <w:pPr>
        <w:ind w:left="567"/>
      </w:pPr>
      <w:r w:rsidRPr="004E7B57">
        <w:t>δ3. Απάτη, κατά την έννοια του άρθρου 1 της σύμβασης για την προστασία των οικονομικών συμφερόντων</w:t>
      </w:r>
      <w:r w:rsidR="00570DFE" w:rsidRPr="004E7B57">
        <w:t xml:space="preserve"> </w:t>
      </w:r>
      <w:r w:rsidRPr="004E7B57">
        <w:t>των Ευρωπαϊκών Κοινοτήτων.</w:t>
      </w:r>
    </w:p>
    <w:p w14:paraId="214B14E2" w14:textId="77777777" w:rsidR="000546D5" w:rsidRPr="004E7B57" w:rsidRDefault="00856EDC" w:rsidP="00F1093A">
      <w:pPr>
        <w:ind w:left="567"/>
      </w:pPr>
      <w:r w:rsidRPr="004E7B57">
        <w:t>δ4. Νομιμοποίηση εσόδων από παράνομες δραστηριότητες, κατά το άρθρο 1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w:t>
      </w:r>
    </w:p>
    <w:p w14:paraId="586CD786" w14:textId="4A39FE52" w:rsidR="000546D5" w:rsidRPr="004E7B57" w:rsidRDefault="00856EDC" w:rsidP="00F1093A">
      <w:pPr>
        <w:ind w:left="284"/>
      </w:pPr>
      <w:r w:rsidRPr="004E7B57">
        <w:rPr>
          <w:b/>
        </w:rPr>
        <w:lastRenderedPageBreak/>
        <w:t xml:space="preserve">ε. </w:t>
      </w:r>
      <w:r w:rsidRPr="004E7B57">
        <w:t xml:space="preserve">Δεν τελώ / Δεν τελεί το νομικό πρόσωπο που εκπροσωπώ υπό πτώχευση, εκκαθάριση, παύση δραστηριοτήτων, αναγκαστική διαχείριση ή πτωχευτικό συμβιβασμό ή διαδικασία εξυγίανσης </w:t>
      </w:r>
      <w:proofErr w:type="spellStart"/>
      <w:r w:rsidRPr="004E7B57">
        <w:t>αρ</w:t>
      </w:r>
      <w:proofErr w:type="spellEnd"/>
      <w:r w:rsidRPr="004E7B57">
        <w:t xml:space="preserve">. 99 Ν.3588/2007 και των </w:t>
      </w:r>
      <w:proofErr w:type="spellStart"/>
      <w:r w:rsidRPr="004E7B57">
        <w:t>αρ</w:t>
      </w:r>
      <w:proofErr w:type="spellEnd"/>
      <w:r w:rsidRPr="004E7B57">
        <w:t>. 31επ. του ν. 4738/2020 ή οποιαδήποτε άλλη κατάσταση που προκύπτει από παρόμοια διαδικασία προβλεπόμενη από τις κατά περίπτωση εφαρμοζόμενες εθνικές, νομοθετικές και κανονιστικές διατάξεις και δεν έχει κινηθεί εναντίον μου ή εναντίον του νομικού προσώπου που εκπροσωπώ διαδικασία κήρυξης σε πτώχευση, εκκαθάρισης, αναγκαστικής διαχείρισης, πτωχευτικού συμβιβασμού ή οποιαδήποτε άλλη κατάσταση που</w:t>
      </w:r>
      <w:r w:rsidR="00570DFE" w:rsidRPr="004E7B57">
        <w:t xml:space="preserve"> </w:t>
      </w:r>
      <w:r w:rsidRPr="004E7B57">
        <w:t>προκύπτει από παρόμοια διαδικασία προβλεπόμενη από τις κατά περίπτωση εφαρμοζόμενες εθνικές νομοθετικές και κανονιστικές διατάξεις.</w:t>
      </w:r>
    </w:p>
    <w:p w14:paraId="62951D13" w14:textId="77777777" w:rsidR="000546D5" w:rsidRPr="004E7B57" w:rsidRDefault="00856EDC" w:rsidP="00F1093A">
      <w:pPr>
        <w:ind w:left="284"/>
      </w:pPr>
      <w:proofErr w:type="spellStart"/>
      <w:r w:rsidRPr="004E7B57">
        <w:rPr>
          <w:b/>
        </w:rPr>
        <w:t>στ</w:t>
      </w:r>
      <w:proofErr w:type="spellEnd"/>
      <w:r w:rsidRPr="004E7B57">
        <w:rPr>
          <w:b/>
        </w:rPr>
        <w:t xml:space="preserve">. </w:t>
      </w:r>
      <w:r w:rsidRPr="004E7B57">
        <w:t xml:space="preserve">Το/τα νομικό/-ά πρόσωπο/-α που εκπροσωπώ δεν βρίσκεται/βρίσκονται σε κατάσταση λύσης, παύσης, ανάκλησης ή αναστολής της δραστηριότητάς τους, τελεί/τελούν υπό εκκαθάριση του ν. 4548/2018,όπως εκάστοτε ισχύει, ή ειδική εκκαθάριση του ν. 1892/1990 (ΦΕΚ A’ 101), όπως εκάστοτε ισχύει, ή άλλες ανάλογες καταστάσεις και, δεν τελεί υπό διαδικασία έκδοσης απόφασης κοινής ή ειδικής εκκαθάρισης των ανωτέρω </w:t>
      </w:r>
      <w:proofErr w:type="spellStart"/>
      <w:r w:rsidRPr="004E7B57">
        <w:t>νοµοθετηµάτων</w:t>
      </w:r>
      <w:proofErr w:type="spellEnd"/>
      <w:r w:rsidRPr="004E7B57">
        <w:t xml:space="preserve"> ή υπό άλλες ανάλογες καταστάσεις.</w:t>
      </w:r>
    </w:p>
    <w:p w14:paraId="0D89433D" w14:textId="77777777" w:rsidR="000546D5" w:rsidRPr="004E7B57" w:rsidRDefault="00856EDC" w:rsidP="00F1093A">
      <w:pPr>
        <w:ind w:left="284"/>
      </w:pPr>
      <w:r w:rsidRPr="004E7B57">
        <w:rPr>
          <w:b/>
        </w:rPr>
        <w:t xml:space="preserve">ζ. </w:t>
      </w:r>
      <w:r w:rsidRPr="004E7B57">
        <w:t>Δεν έχω / Δεν έχω και δεν έχουν τα πρόσωπα που διοικούν το νομικό πρόσωπο που εκπροσωπώ καταδικασθεί με απόφαση ελληνικού ή αλλοδαπού δικαστηρίου για αδίκημα που αφορά την επαγγελματική μου (τους) διαγωγή και δη για υπεξαίρεση, απάτη, πλαστογραφία, ψευδορκία, δωροδοκία και δόλια χρεωκοπία με τελεσίδικη απόφαση σύμφωνα με τη νομοθεσία του κράτους εγκατάστασής μου (ή του κράτους εγκατάστασης του νομικού προσώπου που εκπροσωπώ).</w:t>
      </w:r>
    </w:p>
    <w:p w14:paraId="7D41F907" w14:textId="25702166" w:rsidR="00D10582" w:rsidRPr="004E7B57" w:rsidRDefault="00856EDC" w:rsidP="00F1093A">
      <w:pPr>
        <w:ind w:left="284"/>
        <w:rPr>
          <w:b/>
        </w:rPr>
      </w:pPr>
      <w:r w:rsidRPr="004E7B57">
        <w:rPr>
          <w:b/>
        </w:rPr>
        <w:t xml:space="preserve">η. </w:t>
      </w:r>
      <w:r w:rsidRPr="004E7B57">
        <w:t>Δεν έχω διαπράξει σοβαρό επαγγελματικό παράπτωμα, που να έχει διαπιστωθεί και τιμωρηθεί πειθαρχικά με οποιοδήποτε τρόπο.</w:t>
      </w:r>
    </w:p>
    <w:p w14:paraId="59411EC8" w14:textId="7EFB284F" w:rsidR="00AC5682" w:rsidRPr="004E7B57" w:rsidRDefault="00221FA7" w:rsidP="00F1093A">
      <w:pPr>
        <w:ind w:left="284"/>
      </w:pPr>
      <w:r w:rsidRPr="004E7B57">
        <w:rPr>
          <w:b/>
        </w:rPr>
        <w:t>θ</w:t>
      </w:r>
      <w:r w:rsidR="00D10582" w:rsidRPr="004E7B57">
        <w:rPr>
          <w:b/>
        </w:rPr>
        <w:t>.</w:t>
      </w:r>
      <w:r w:rsidR="00D10582" w:rsidRPr="004E7B57">
        <w:t xml:space="preserve"> Έχω διαπράξει το ακόλουθο αδίκημα/ τα ακόλουθα αδικήματα της περ. </w:t>
      </w:r>
      <w:proofErr w:type="spellStart"/>
      <w:r w:rsidR="00D10582" w:rsidRPr="004E7B57">
        <w:t>στ</w:t>
      </w:r>
      <w:proofErr w:type="spellEnd"/>
      <w:r w:rsidR="00D10582" w:rsidRPr="004E7B57">
        <w:t xml:space="preserve"> της παρ. 10.02 της Προκήρυξης και από τα οποία δεν συνάγεται λόγος αποκλεισμού μου από την Ανταγωνιστική Διαδικασία</w:t>
      </w:r>
      <w:r w:rsidRPr="004E7B57">
        <w:t>.</w:t>
      </w:r>
    </w:p>
    <w:p w14:paraId="71FD99F4" w14:textId="6545A077" w:rsidR="00AC5682" w:rsidRPr="001B4B05" w:rsidRDefault="00221FA7" w:rsidP="00F1093A">
      <w:pPr>
        <w:pStyle w:val="a3"/>
        <w:ind w:left="284"/>
        <w:rPr>
          <w:sz w:val="22"/>
          <w:szCs w:val="22"/>
        </w:rPr>
      </w:pPr>
      <w:r w:rsidRPr="001B4B05">
        <w:rPr>
          <w:b/>
          <w:bCs/>
          <w:sz w:val="22"/>
          <w:szCs w:val="22"/>
        </w:rPr>
        <w:t>ι</w:t>
      </w:r>
      <w:r w:rsidR="00AC5682" w:rsidRPr="001B4B05">
        <w:rPr>
          <w:b/>
          <w:bCs/>
          <w:sz w:val="22"/>
          <w:szCs w:val="22"/>
        </w:rPr>
        <w:t>.</w:t>
      </w:r>
      <w:r w:rsidR="00AC5682" w:rsidRPr="001B4B05">
        <w:rPr>
          <w:sz w:val="22"/>
          <w:szCs w:val="22"/>
        </w:rPr>
        <w:t xml:space="preserve"> [Σε περίπτωση που διατηρείται  με άλλο Συμμετέχοντα στην Ανταγωνιστική Διαδικασία, νομικό πρόσωπο, σχέση συνδεδεμένων επιχειρήσεων</w:t>
      </w:r>
      <w:r w:rsidR="004C42A3" w:rsidRPr="001B4B05">
        <w:rPr>
          <w:sz w:val="22"/>
          <w:szCs w:val="22"/>
        </w:rPr>
        <w:t>] το νομικό πρόσωπο που εκπροσωπώ:</w:t>
      </w:r>
    </w:p>
    <w:p w14:paraId="29081489" w14:textId="57EC8025" w:rsidR="00AC5682" w:rsidRPr="004E7B57" w:rsidRDefault="00AC5682" w:rsidP="00F1093A">
      <w:pPr>
        <w:pStyle w:val="a3"/>
        <w:ind w:left="567"/>
      </w:pPr>
      <w:r w:rsidRPr="004E7B57">
        <w:t>ι) κατέχ</w:t>
      </w:r>
      <w:r w:rsidR="004C42A3">
        <w:t>ει</w:t>
      </w:r>
      <w:r w:rsidRPr="004E7B57">
        <w:t xml:space="preserve"> την πλειοψηφία των δικαιωμάτων ψήφου των µ</w:t>
      </w:r>
      <w:proofErr w:type="spellStart"/>
      <w:r w:rsidRPr="004E7B57">
        <w:t>ετόχων</w:t>
      </w:r>
      <w:proofErr w:type="spellEnd"/>
      <w:r w:rsidRPr="004E7B57">
        <w:t xml:space="preserve"> ή των εταίρων του Συμμετέχοντος/ των Συμμετεχόντων στην Ανταγωνιστική Διαδικασία, νομικού προσώπου / νομικών προσώπων, με την επωνυμία: </w:t>
      </w:r>
      <w:r w:rsidRPr="004E7B57">
        <w:rPr>
          <w:lang w:val="en-US"/>
        </w:rPr>
        <w:t>a</w:t>
      </w:r>
      <w:r w:rsidRPr="004E7B57">
        <w:t xml:space="preserve">)……………, </w:t>
      </w:r>
      <w:r w:rsidRPr="004E7B57">
        <w:rPr>
          <w:lang w:val="en-US"/>
        </w:rPr>
        <w:t>b</w:t>
      </w:r>
      <w:r w:rsidRPr="004E7B57">
        <w:t xml:space="preserve">)………………, </w:t>
      </w:r>
      <w:r w:rsidRPr="004E7B57">
        <w:rPr>
          <w:lang w:val="en-US"/>
        </w:rPr>
        <w:t>c</w:t>
      </w:r>
      <w:r w:rsidRPr="004E7B57">
        <w:t xml:space="preserve">)……………….,κ.λπ. </w:t>
      </w:r>
    </w:p>
    <w:p w14:paraId="36089F04" w14:textId="4099AF74" w:rsidR="00AC5682" w:rsidRPr="004E7B57" w:rsidRDefault="00AC5682" w:rsidP="00F1093A">
      <w:pPr>
        <w:pStyle w:val="a3"/>
        <w:ind w:left="567"/>
      </w:pPr>
      <w:r w:rsidRPr="004E7B57">
        <w:rPr>
          <w:lang w:val="en-US"/>
        </w:rPr>
        <w:t>ii</w:t>
      </w:r>
      <w:r w:rsidRPr="004E7B57">
        <w:t xml:space="preserve">) </w:t>
      </w:r>
      <w:r w:rsidR="004C42A3">
        <w:t>έχει</w:t>
      </w:r>
      <w:r w:rsidRPr="004E7B57">
        <w:t xml:space="preserve"> το </w:t>
      </w:r>
      <w:proofErr w:type="spellStart"/>
      <w:r w:rsidRPr="004E7B57">
        <w:t>δικαίωµα</w:t>
      </w:r>
      <w:proofErr w:type="spellEnd"/>
      <w:r w:rsidRPr="004E7B57">
        <w:t xml:space="preserve"> να διορίζ</w:t>
      </w:r>
      <w:r w:rsidR="004C42A3">
        <w:t>ει</w:t>
      </w:r>
      <w:r w:rsidRPr="004E7B57">
        <w:t xml:space="preserve"> ή να παύ</w:t>
      </w:r>
      <w:r w:rsidR="004C42A3">
        <w:t>ει</w:t>
      </w:r>
      <w:r w:rsidRPr="004E7B57">
        <w:t xml:space="preserve"> την πλειοψηφία των µελών του διοικητικού, διαχειριστικού ή εποπτικού οργάνου του Συμμετέχοντος/ των Συμμετεχόντων στην Ανταγωνιστική Διαδικασία, νομικού προσώπου / νομικών προσώπων, με την επωνυμία: </w:t>
      </w:r>
      <w:proofErr w:type="gramStart"/>
      <w:r w:rsidRPr="004E7B57">
        <w:rPr>
          <w:lang w:val="en-US"/>
        </w:rPr>
        <w:t>a</w:t>
      </w:r>
      <w:r w:rsidRPr="004E7B57">
        <w:t>)…</w:t>
      </w:r>
      <w:proofErr w:type="gramEnd"/>
      <w:r w:rsidRPr="004E7B57">
        <w:t xml:space="preserve">…………, </w:t>
      </w:r>
      <w:r w:rsidRPr="004E7B57">
        <w:rPr>
          <w:lang w:val="en-US"/>
        </w:rPr>
        <w:t>b</w:t>
      </w:r>
      <w:r w:rsidRPr="004E7B57">
        <w:t xml:space="preserve">)………………, </w:t>
      </w:r>
      <w:r w:rsidRPr="004E7B57">
        <w:rPr>
          <w:lang w:val="en-US"/>
        </w:rPr>
        <w:t>c</w:t>
      </w:r>
      <w:r w:rsidRPr="004E7B57">
        <w:t>)……………….,κ.λπ.</w:t>
      </w:r>
    </w:p>
    <w:p w14:paraId="03C92EBA" w14:textId="262C4AF4" w:rsidR="00AC5682" w:rsidRPr="004E7B57" w:rsidRDefault="00AC5682" w:rsidP="00F1093A">
      <w:pPr>
        <w:pStyle w:val="a3"/>
        <w:ind w:left="567"/>
      </w:pPr>
      <w:r w:rsidRPr="004E7B57">
        <w:rPr>
          <w:lang w:val="en-US"/>
        </w:rPr>
        <w:t>iii</w:t>
      </w:r>
      <w:r w:rsidRPr="004E7B57">
        <w:t xml:space="preserve">) </w:t>
      </w:r>
      <w:r w:rsidR="004C42A3">
        <w:t>έχει</w:t>
      </w:r>
      <w:r w:rsidRPr="004E7B57">
        <w:t xml:space="preserve"> το </w:t>
      </w:r>
      <w:proofErr w:type="spellStart"/>
      <w:r w:rsidRPr="004E7B57">
        <w:t>δικαίωµα</w:t>
      </w:r>
      <w:proofErr w:type="spellEnd"/>
      <w:r w:rsidRPr="004E7B57">
        <w:t xml:space="preserve"> να ασκήσ</w:t>
      </w:r>
      <w:r w:rsidR="004C42A3">
        <w:t>ει</w:t>
      </w:r>
      <w:r w:rsidRPr="004E7B57">
        <w:t xml:space="preserve"> κυριαρχική επιρροή σε άλλο Συμμετέχοντα/ Συμμετέχοντες στην Ανταγωνιστική Διαδικασία, νομικό πρόσωπο / νομικά πρόσωπα, με την επωνυμία: </w:t>
      </w:r>
      <w:proofErr w:type="gramStart"/>
      <w:r w:rsidRPr="004E7B57">
        <w:rPr>
          <w:lang w:val="en-US"/>
        </w:rPr>
        <w:t>a</w:t>
      </w:r>
      <w:r w:rsidRPr="004E7B57">
        <w:t>)…</w:t>
      </w:r>
      <w:proofErr w:type="gramEnd"/>
      <w:r w:rsidRPr="004E7B57">
        <w:t xml:space="preserve">…………, </w:t>
      </w:r>
      <w:r w:rsidRPr="004E7B57">
        <w:rPr>
          <w:lang w:val="en-US"/>
        </w:rPr>
        <w:t>b</w:t>
      </w:r>
      <w:r w:rsidRPr="004E7B57">
        <w:t xml:space="preserve">)………………, </w:t>
      </w:r>
      <w:r w:rsidRPr="004E7B57">
        <w:rPr>
          <w:lang w:val="en-US"/>
        </w:rPr>
        <w:t>c</w:t>
      </w:r>
      <w:r w:rsidRPr="004E7B57">
        <w:t xml:space="preserve">)……………….,κ.λπ. βάσει </w:t>
      </w:r>
      <w:proofErr w:type="spellStart"/>
      <w:r w:rsidRPr="004E7B57">
        <w:t>σύµβασης</w:t>
      </w:r>
      <w:proofErr w:type="spellEnd"/>
      <w:r w:rsidRPr="004E7B57">
        <w:t xml:space="preserve"> που έχουν συνάψει µε αυτό ή </w:t>
      </w:r>
      <w:proofErr w:type="spellStart"/>
      <w:r w:rsidRPr="004E7B57">
        <w:t>δυνάµει</w:t>
      </w:r>
      <w:proofErr w:type="spellEnd"/>
      <w:r w:rsidRPr="004E7B57">
        <w:t xml:space="preserve"> ρήτρας του καταστατικού του τελευταίου.</w:t>
      </w:r>
    </w:p>
    <w:p w14:paraId="581259FB" w14:textId="2A0C5E79" w:rsidR="00AC5682" w:rsidRPr="004E7B57" w:rsidRDefault="00AC5682" w:rsidP="00F1093A">
      <w:pPr>
        <w:pStyle w:val="a3"/>
        <w:ind w:left="567"/>
      </w:pPr>
      <w:r w:rsidRPr="004E7B57">
        <w:rPr>
          <w:lang w:val="en-US"/>
        </w:rPr>
        <w:t>iv</w:t>
      </w:r>
      <w:r w:rsidRPr="004E7B57">
        <w:t>) εί</w:t>
      </w:r>
      <w:r w:rsidR="004C42A3">
        <w:t>ν</w:t>
      </w:r>
      <w:r w:rsidRPr="004E7B57">
        <w:t>αι µ</w:t>
      </w:r>
      <w:proofErr w:type="spellStart"/>
      <w:r w:rsidRPr="004E7B57">
        <w:t>έτοχος</w:t>
      </w:r>
      <w:proofErr w:type="spellEnd"/>
      <w:r w:rsidRPr="004E7B57">
        <w:t xml:space="preserve"> ή εταίρος του Συμμετέχοντος/ των Συμμετεχόντων στην Ανταγωνιστική Διαδικασία, νομικού προσώπου / νομικών προσώπων, με την επωνυμία: </w:t>
      </w:r>
      <w:proofErr w:type="gramStart"/>
      <w:r w:rsidRPr="004E7B57">
        <w:rPr>
          <w:lang w:val="en-US"/>
        </w:rPr>
        <w:t>a</w:t>
      </w:r>
      <w:r w:rsidRPr="004E7B57">
        <w:t>)…</w:t>
      </w:r>
      <w:proofErr w:type="gramEnd"/>
      <w:r w:rsidRPr="004E7B57">
        <w:t xml:space="preserve">…………, </w:t>
      </w:r>
      <w:r w:rsidRPr="004E7B57">
        <w:rPr>
          <w:lang w:val="en-US"/>
        </w:rPr>
        <w:t>b</w:t>
      </w:r>
      <w:r w:rsidRPr="004E7B57">
        <w:t xml:space="preserve">)………………, </w:t>
      </w:r>
      <w:r w:rsidRPr="004E7B57">
        <w:rPr>
          <w:lang w:val="en-US"/>
        </w:rPr>
        <w:t>g</w:t>
      </w:r>
      <w:r w:rsidRPr="004E7B57">
        <w:t>)……………….,κ.λπ. και ελέγχ</w:t>
      </w:r>
      <w:r w:rsidR="004C42A3">
        <w:t>ει</w:t>
      </w:r>
      <w:r w:rsidRPr="004E7B57">
        <w:t xml:space="preserve"> µόνο </w:t>
      </w:r>
      <w:r w:rsidR="004C42A3">
        <w:t>τ</w:t>
      </w:r>
      <w:r w:rsidRPr="004E7B57">
        <w:t xml:space="preserve">ου, βάσει </w:t>
      </w:r>
      <w:proofErr w:type="spellStart"/>
      <w:r w:rsidRPr="004E7B57">
        <w:t>συµφωνίας</w:t>
      </w:r>
      <w:proofErr w:type="spellEnd"/>
      <w:r w:rsidRPr="004E7B57">
        <w:t xml:space="preserve"> που έχ</w:t>
      </w:r>
      <w:r w:rsidR="004C42A3">
        <w:t>ει</w:t>
      </w:r>
      <w:r w:rsidRPr="004E7B57">
        <w:t xml:space="preserve"> συνάψει µε άλλους µ</w:t>
      </w:r>
      <w:proofErr w:type="spellStart"/>
      <w:r w:rsidRPr="004E7B57">
        <w:t>ετόχους</w:t>
      </w:r>
      <w:proofErr w:type="spellEnd"/>
      <w:r w:rsidRPr="004E7B57">
        <w:t xml:space="preserve"> ή εταίρους του εν λόγω νομικού προσώπου, την πλειοψηφία των </w:t>
      </w:r>
      <w:proofErr w:type="spellStart"/>
      <w:r w:rsidRPr="004E7B57">
        <w:t>δικαιωµάτων</w:t>
      </w:r>
      <w:proofErr w:type="spellEnd"/>
      <w:r w:rsidRPr="004E7B57">
        <w:t xml:space="preserve"> ψήφου των µ</w:t>
      </w:r>
      <w:proofErr w:type="spellStart"/>
      <w:r w:rsidRPr="004E7B57">
        <w:t>ετόχων</w:t>
      </w:r>
      <w:proofErr w:type="spellEnd"/>
      <w:r w:rsidRPr="004E7B57">
        <w:t xml:space="preserve"> ή των εταίρων αυτού.</w:t>
      </w:r>
    </w:p>
    <w:p w14:paraId="5312C5CD" w14:textId="2AEDE05D" w:rsidR="00AC5682" w:rsidRPr="004E7B57" w:rsidRDefault="00AC5682" w:rsidP="00F1093A">
      <w:pPr>
        <w:pStyle w:val="a3"/>
        <w:ind w:left="567"/>
      </w:pPr>
      <w:r w:rsidRPr="004E7B57">
        <w:rPr>
          <w:lang w:val="en-US"/>
        </w:rPr>
        <w:t>v</w:t>
      </w:r>
      <w:r w:rsidRPr="004E7B57">
        <w:t>) διατηρ</w:t>
      </w:r>
      <w:r w:rsidR="004C42A3">
        <w:t>εί</w:t>
      </w:r>
      <w:r w:rsidRPr="004E7B57">
        <w:t xml:space="preserve"> µ</w:t>
      </w:r>
      <w:proofErr w:type="spellStart"/>
      <w:r w:rsidRPr="004E7B57">
        <w:t>ια</w:t>
      </w:r>
      <w:proofErr w:type="spellEnd"/>
      <w:r w:rsidRPr="004E7B57">
        <w:t xml:space="preserve"> από τις υπό α) έως δ) σχέσεις με τον Συμμετέχοντα / τους Συμμετέχοντες με την </w:t>
      </w:r>
      <w:proofErr w:type="gramStart"/>
      <w:r w:rsidRPr="004E7B57">
        <w:t>επωνυμία :</w:t>
      </w:r>
      <w:proofErr w:type="gramEnd"/>
      <w:r w:rsidRPr="004E7B57">
        <w:t xml:space="preserve"> </w:t>
      </w:r>
      <w:r w:rsidRPr="004E7B57">
        <w:rPr>
          <w:lang w:val="en-US"/>
        </w:rPr>
        <w:t>a</w:t>
      </w:r>
      <w:r w:rsidRPr="004E7B57">
        <w:t xml:space="preserve">)………….., </w:t>
      </w:r>
      <w:r w:rsidRPr="004E7B57">
        <w:rPr>
          <w:lang w:val="en-US"/>
        </w:rPr>
        <w:t>b</w:t>
      </w:r>
      <w:r w:rsidRPr="004E7B57">
        <w:t>)………………,</w:t>
      </w:r>
      <w:r w:rsidRPr="004E7B57">
        <w:rPr>
          <w:lang w:val="en-US"/>
        </w:rPr>
        <w:t>c</w:t>
      </w:r>
      <w:r w:rsidRPr="004E7B57">
        <w:t xml:space="preserve">i) ………………….., κ.λπ., µέσω ενός φυσικού προσώπου ή </w:t>
      </w:r>
      <w:proofErr w:type="spellStart"/>
      <w:r w:rsidRPr="004E7B57">
        <w:t>οµάδας</w:t>
      </w:r>
      <w:proofErr w:type="spellEnd"/>
      <w:r w:rsidRPr="004E7B57">
        <w:t xml:space="preserve"> φυσικών προσώπων που ενεργούν από κοινού.</w:t>
      </w:r>
    </w:p>
    <w:p w14:paraId="7C861175" w14:textId="42C65317" w:rsidR="00AC5682" w:rsidRPr="004C42A3" w:rsidRDefault="00AC5682" w:rsidP="00F1093A">
      <w:pPr>
        <w:pStyle w:val="a3"/>
        <w:ind w:left="284"/>
      </w:pPr>
      <w:proofErr w:type="spellStart"/>
      <w:r w:rsidRPr="004E7B57">
        <w:rPr>
          <w:b/>
          <w:bCs/>
        </w:rPr>
        <w:t>ι</w:t>
      </w:r>
      <w:r w:rsidR="00221FA7" w:rsidRPr="004E7B57">
        <w:rPr>
          <w:b/>
          <w:bCs/>
        </w:rPr>
        <w:t>α</w:t>
      </w:r>
      <w:proofErr w:type="spellEnd"/>
      <w:r w:rsidRPr="004E7B57">
        <w:rPr>
          <w:b/>
          <w:bCs/>
        </w:rPr>
        <w:t>.</w:t>
      </w:r>
      <w:r w:rsidRPr="004E7B57">
        <w:t xml:space="preserve"> [Σε περίπτωση που διατηρ</w:t>
      </w:r>
      <w:r w:rsidR="004C42A3">
        <w:t>είται</w:t>
      </w:r>
      <w:r w:rsidRPr="004E7B57">
        <w:t xml:space="preserve"> με άλλο Συμμετέχοντα στην Ανταγωνιστική Διαδικασία, νομικό πρόσωπο, σχέση συνεργαζόμενων  επιχειρήσεων]</w:t>
      </w:r>
      <w:r w:rsidR="004C42A3">
        <w:t xml:space="preserve"> το νομικό πρόσωπο που εκπροσωπώ</w:t>
      </w:r>
      <w:r w:rsidR="004C42A3" w:rsidRPr="004C42A3">
        <w:t>:</w:t>
      </w:r>
    </w:p>
    <w:p w14:paraId="123B3E97" w14:textId="5A741A7F" w:rsidR="00AC5682" w:rsidRPr="004E7B57" w:rsidRDefault="00AC5682" w:rsidP="00F1093A">
      <w:pPr>
        <w:pStyle w:val="a3"/>
        <w:ind w:left="567"/>
      </w:pPr>
      <w:proofErr w:type="spellStart"/>
      <w:r w:rsidRPr="004E7B57">
        <w:rPr>
          <w:lang w:val="en-US"/>
        </w:rPr>
        <w:t>i</w:t>
      </w:r>
      <w:proofErr w:type="spellEnd"/>
      <w:r w:rsidRPr="004E7B57">
        <w:t>) διατηρ</w:t>
      </w:r>
      <w:r w:rsidR="004C42A3">
        <w:t>εί</w:t>
      </w:r>
      <w:r w:rsidRPr="004E7B57">
        <w:t xml:space="preserve"> με τον Συμμετέχοντα/ τους Συμμετέχοντες στην Ανταγωνιστική Διαδικασία, νομικό πρόσωπο / νομικά πρόσωπα, με την επωνυμία: </w:t>
      </w:r>
      <w:r w:rsidRPr="004E7B57">
        <w:rPr>
          <w:lang w:val="en-US"/>
        </w:rPr>
        <w:t>a</w:t>
      </w:r>
      <w:r w:rsidRPr="004E7B57">
        <w:t xml:space="preserve">)……………, </w:t>
      </w:r>
      <w:r w:rsidRPr="004E7B57">
        <w:rPr>
          <w:lang w:val="en-US"/>
        </w:rPr>
        <w:t>b</w:t>
      </w:r>
      <w:r w:rsidRPr="004E7B57">
        <w:t xml:space="preserve">)………………, </w:t>
      </w:r>
      <w:r w:rsidRPr="004E7B57">
        <w:rPr>
          <w:lang w:val="en-US"/>
        </w:rPr>
        <w:t>c</w:t>
      </w:r>
      <w:r w:rsidRPr="004E7B57">
        <w:t xml:space="preserve">)……………….,κ.λπ. σχέση συνεργαζόμενων επιχειρήσεων κατά τα οριζόμενα στην παρ. 2 </w:t>
      </w:r>
      <w:r w:rsidR="001B4B05">
        <w:t xml:space="preserve">του άρθρου 3 </w:t>
      </w:r>
      <w:r w:rsidRPr="004E7B57">
        <w:t>της Σύστασης 2003/361/ΕΚ της Επιτροπής, όπως δημοσιεύτηκε στην Επίσημη Εφημερίδα της Ευρωπαϊκής Ένωσης (L 124 της 20ής Μαΐου 2003, σ. 36.), και ιδίως ότι κατέχ</w:t>
      </w:r>
      <w:r w:rsidR="004C42A3">
        <w:t>ει</w:t>
      </w:r>
      <w:r w:rsidRPr="004E7B57">
        <w:t xml:space="preserve">, </w:t>
      </w:r>
      <w:r w:rsidR="004C42A3">
        <w:t>το ίδιο</w:t>
      </w:r>
      <w:r w:rsidRPr="004E7B57">
        <w:t xml:space="preserve"> ή από κοινού µε µία ή περισσότερες </w:t>
      </w:r>
      <w:proofErr w:type="spellStart"/>
      <w:r w:rsidRPr="004E7B57">
        <w:t>συνδεδεµένες</w:t>
      </w:r>
      <w:proofErr w:type="spellEnd"/>
      <w:r w:rsidRPr="004E7B57">
        <w:t xml:space="preserve"> επιχειρήσεις κατά τα ανωτέρω, το 25 % ή περισσότερο του κεφαλαίου ή των </w:t>
      </w:r>
      <w:proofErr w:type="spellStart"/>
      <w:r w:rsidRPr="004E7B57">
        <w:t>δικαιωµάτων</w:t>
      </w:r>
      <w:proofErr w:type="spellEnd"/>
      <w:r w:rsidRPr="004E7B57">
        <w:t xml:space="preserve"> ψήφου του εν λόγω νομικού προσώπου.</w:t>
      </w:r>
    </w:p>
    <w:p w14:paraId="204036A7" w14:textId="449CFB27" w:rsidR="00C738FC" w:rsidRPr="004E7B57" w:rsidRDefault="00221FA7" w:rsidP="00F1093A">
      <w:pPr>
        <w:ind w:left="284"/>
      </w:pPr>
      <w:proofErr w:type="spellStart"/>
      <w:r w:rsidRPr="004E7B57">
        <w:rPr>
          <w:b/>
        </w:rPr>
        <w:t>ιβ</w:t>
      </w:r>
      <w:proofErr w:type="spellEnd"/>
      <w:r w:rsidR="00C738FC" w:rsidRPr="004E7B57">
        <w:rPr>
          <w:b/>
        </w:rPr>
        <w:t>.</w:t>
      </w:r>
      <w:r w:rsidR="00C738FC" w:rsidRPr="004E7B57">
        <w:t xml:space="preserve"> Δεν </w:t>
      </w:r>
      <w:r w:rsidR="001B4B05">
        <w:t>έχει πραγματοποιηθεί</w:t>
      </w:r>
      <w:r w:rsidR="00C738FC" w:rsidRPr="004E7B57">
        <w:t xml:space="preserve"> Έναρξη Εργασιών για την κατασκευή του Σ.Α.Η.Ε. πριν από την υποβολή </w:t>
      </w:r>
      <w:r w:rsidR="004C42A3">
        <w:t xml:space="preserve">αίτησης συμμετοχής </w:t>
      </w:r>
      <w:r w:rsidR="00C738FC" w:rsidRPr="004E7B57">
        <w:t xml:space="preserve">στο πλαίσιο </w:t>
      </w:r>
      <w:r w:rsidR="004C42A3">
        <w:t>της</w:t>
      </w:r>
      <w:r w:rsidR="00C738FC" w:rsidRPr="004E7B57">
        <w:t xml:space="preserve"> Ανταγωνιστικ</w:t>
      </w:r>
      <w:r w:rsidR="004C42A3">
        <w:t>ής</w:t>
      </w:r>
      <w:r w:rsidR="00C738FC" w:rsidRPr="004E7B57">
        <w:t xml:space="preserve"> Διαδικασ</w:t>
      </w:r>
      <w:r w:rsidR="004C42A3">
        <w:t>ίας.</w:t>
      </w:r>
    </w:p>
    <w:p w14:paraId="23F3181F" w14:textId="2DE11FA1" w:rsidR="000546D5" w:rsidRPr="004E7B57" w:rsidRDefault="00221FA7" w:rsidP="00F1093A">
      <w:pPr>
        <w:ind w:left="284"/>
      </w:pPr>
      <w:proofErr w:type="spellStart"/>
      <w:r w:rsidRPr="004E7B57">
        <w:rPr>
          <w:b/>
        </w:rPr>
        <w:lastRenderedPageBreak/>
        <w:t>ιγ</w:t>
      </w:r>
      <w:proofErr w:type="spellEnd"/>
      <w:r w:rsidR="00856EDC" w:rsidRPr="004E7B57">
        <w:rPr>
          <w:b/>
        </w:rPr>
        <w:t xml:space="preserve">. </w:t>
      </w:r>
      <w:r w:rsidR="00856EDC" w:rsidRPr="004E7B57">
        <w:t xml:space="preserve">Όλες οι ανωτέρω δηλώσεις μου είναι αληθείς και γνωρίζω και αποδέχομαι ότι η αλήθεια των δηλώσεών μου θα ελεγχθεί σε περίπτωση που αναδειχθώ/ αναδειχθεί το νομικό πρόσωπο που εκπροσωπώ </w:t>
      </w:r>
      <w:r w:rsidR="001B4B05">
        <w:t xml:space="preserve">ως </w:t>
      </w:r>
      <w:r w:rsidR="00856EDC" w:rsidRPr="004E7B57">
        <w:t>Επιλεγείς Συμμετέχων, ότι θα αποκλεισθώ/ει της Ανταγωνιστικής Διαδικασίας</w:t>
      </w:r>
      <w:r w:rsidR="004C42A3">
        <w:t xml:space="preserve"> ή/και θα </w:t>
      </w:r>
      <w:proofErr w:type="spellStart"/>
      <w:r w:rsidR="004C42A3">
        <w:t>απενταχθεί</w:t>
      </w:r>
      <w:proofErr w:type="spellEnd"/>
      <w:r w:rsidR="004C42A3">
        <w:t xml:space="preserve"> από </w:t>
      </w:r>
      <w:r w:rsidR="001E4418">
        <w:t>το καθεστώς στήριξης</w:t>
      </w:r>
      <w:r w:rsidR="00856EDC" w:rsidRPr="004E7B57">
        <w:t>, εφόσον κάποια από τις εν λόγω δηλώσεις αποδειχθεί αναληθής.</w:t>
      </w:r>
    </w:p>
    <w:p w14:paraId="7D9758BE" w14:textId="48DCE6FE" w:rsidR="005841FA" w:rsidRPr="004E7B57" w:rsidRDefault="005841FA" w:rsidP="00E76414">
      <w:r w:rsidRPr="004E7B57">
        <w:rPr>
          <w:b/>
        </w:rPr>
        <w:t>3</w:t>
      </w:r>
      <w:r w:rsidR="00856EDC" w:rsidRPr="004E7B57">
        <w:rPr>
          <w:b/>
        </w:rPr>
        <w:t xml:space="preserve">. </w:t>
      </w:r>
      <w:r w:rsidR="00856EDC" w:rsidRPr="004E7B57">
        <w:t>Σε περίπτωση που αναδειχθώ/ αναδειχθεί το νομικό πρόσωπο που εκπροσωπώ Επιλεγείς Συμμετέχων δηλώνω ότι υποχρεούμαι/ υποχρεούται</w:t>
      </w:r>
      <w:r w:rsidR="00AD6F93" w:rsidRPr="004E7B57">
        <w:t>:</w:t>
      </w:r>
    </w:p>
    <w:p w14:paraId="66D8E67A" w14:textId="60AC800B" w:rsidR="00395636" w:rsidRPr="0077113B" w:rsidRDefault="005841FA" w:rsidP="00F1093A">
      <w:pPr>
        <w:ind w:left="284"/>
      </w:pPr>
      <w:r w:rsidRPr="0077113B">
        <w:rPr>
          <w:b/>
        </w:rPr>
        <w:t xml:space="preserve">α. </w:t>
      </w:r>
      <w:r w:rsidR="00856EDC" w:rsidRPr="0077113B">
        <w:t>στην πλήρη και προσήκουσα τήρηση των όρων, προϋποθέσεων</w:t>
      </w:r>
      <w:r w:rsidR="00AC5682" w:rsidRPr="0077113B">
        <w:t xml:space="preserve">, </w:t>
      </w:r>
      <w:r w:rsidR="00856EDC" w:rsidRPr="0077113B">
        <w:t xml:space="preserve">διαδικασιών </w:t>
      </w:r>
      <w:r w:rsidR="00AC5682" w:rsidRPr="0077113B">
        <w:t xml:space="preserve">και υποχρεώσεων </w:t>
      </w:r>
      <w:r w:rsidR="00856EDC" w:rsidRPr="0077113B">
        <w:t xml:space="preserve">για την υλοποίηση και λειτουργία του </w:t>
      </w:r>
      <w:r w:rsidR="0051228D" w:rsidRPr="0077113B">
        <w:t>Σ.Α.Η.Ε.</w:t>
      </w:r>
      <w:r w:rsidR="00AC5682" w:rsidRPr="0077113B">
        <w:t xml:space="preserve">, </w:t>
      </w:r>
      <w:r w:rsidR="001B4B05">
        <w:t>όπως</w:t>
      </w:r>
      <w:r w:rsidR="00AC5682" w:rsidRPr="0077113B">
        <w:t xml:space="preserve"> προβλέπονται στην Υπουργική Απόφαση και στην Προκήρυξη</w:t>
      </w:r>
      <w:r w:rsidR="00311952" w:rsidRPr="0077113B">
        <w:t xml:space="preserve"> </w:t>
      </w:r>
      <w:r w:rsidR="00856EDC" w:rsidRPr="0077113B">
        <w:t>και σε περίπτωση παράβασης των σχετικών υποχρεώσεων υπόκειμαι/ υπόκειται στις διαδικασίες, κυρώσεις και χρεώσεις που κατά περίπτωση εφαρμόζονται και επιβάλλονται σύμφωνα με την Προκήρυξη.</w:t>
      </w:r>
    </w:p>
    <w:p w14:paraId="3A4BEB7B" w14:textId="375BFFE9" w:rsidR="005841FA" w:rsidRPr="0077113B" w:rsidRDefault="005841FA" w:rsidP="00F1093A">
      <w:pPr>
        <w:ind w:left="284"/>
        <w:rPr>
          <w:b/>
        </w:rPr>
      </w:pPr>
      <w:r w:rsidRPr="0077113B">
        <w:rPr>
          <w:b/>
        </w:rPr>
        <w:t xml:space="preserve">β. </w:t>
      </w:r>
      <w:r w:rsidRPr="0077113B">
        <w:t xml:space="preserve">να συμμορφωθώ/ συμμορφωθεί με τις υποχρεώσεις </w:t>
      </w:r>
      <w:r w:rsidR="00535299" w:rsidRPr="0077113B">
        <w:t xml:space="preserve">αποξήλωσης, </w:t>
      </w:r>
      <w:r w:rsidRPr="0077113B">
        <w:t xml:space="preserve"> και ανακύκλωσης των συνιστωσών του έργου μετά το πέρας της διάρκειας ζωής τους, κατά την παρ. </w:t>
      </w:r>
      <w:r w:rsidR="00535299" w:rsidRPr="0077113B">
        <w:t>9</w:t>
      </w:r>
      <w:r w:rsidRPr="0077113B">
        <w:t xml:space="preserve"> του άρθρου 8 της Υπουργικής Απόφασης</w:t>
      </w:r>
    </w:p>
    <w:p w14:paraId="17D0AD70" w14:textId="4C86773F" w:rsidR="005841FA" w:rsidRPr="004E7B57" w:rsidRDefault="005841FA" w:rsidP="00F1093A">
      <w:pPr>
        <w:ind w:left="284"/>
      </w:pPr>
      <w:r w:rsidRPr="0077113B">
        <w:rPr>
          <w:b/>
        </w:rPr>
        <w:t>γ</w:t>
      </w:r>
      <w:r w:rsidRPr="0077113B">
        <w:t xml:space="preserve">. να διατηρεί </w:t>
      </w:r>
      <w:r w:rsidR="001E4418" w:rsidRPr="0077113B">
        <w:t xml:space="preserve">ο Σ.Α.Η.Ε. </w:t>
      </w:r>
      <w:r w:rsidRPr="0077113B">
        <w:t xml:space="preserve">τα τεχνικά χαρακτηριστικά </w:t>
      </w:r>
      <w:r w:rsidR="00AE5EB7">
        <w:t xml:space="preserve">και τις απαιτήσεις </w:t>
      </w:r>
      <w:r w:rsidR="000A082E">
        <w:t>των άρθρων 7 και</w:t>
      </w:r>
      <w:r w:rsidRPr="0077113B">
        <w:t xml:space="preserve"> 8 της Υπουργικής Απόφασης</w:t>
      </w:r>
      <w:r w:rsidR="00AE5EB7">
        <w:t xml:space="preserve">, </w:t>
      </w:r>
      <w:r w:rsidR="0077113B" w:rsidRPr="0077113B">
        <w:t>του άρθρου 1</w:t>
      </w:r>
      <w:r w:rsidR="00AE5EB7">
        <w:t>5</w:t>
      </w:r>
      <w:r w:rsidR="0077113B" w:rsidRPr="0077113B">
        <w:t xml:space="preserve"> της Προκήρυξης </w:t>
      </w:r>
      <w:r w:rsidR="00AE5EB7">
        <w:t xml:space="preserve">και του Παραρτήματος Η της Προκήρυξης </w:t>
      </w:r>
      <w:r w:rsidRPr="0077113B">
        <w:t>εντός των τιθέμενων ορίων καθ’ όλη τη διάρκεια της Περιόδου Ενίσχυσης</w:t>
      </w:r>
      <w:r w:rsidR="00AE5EB7">
        <w:t>.</w:t>
      </w:r>
    </w:p>
    <w:p w14:paraId="32E7E686" w14:textId="5CDC0B3F" w:rsidR="006B5D75" w:rsidRPr="004E7B57" w:rsidRDefault="007F05FD" w:rsidP="00413129">
      <w:r w:rsidRPr="004E7B57">
        <w:tab/>
      </w:r>
      <w:r w:rsidRPr="004E7B57">
        <w:tab/>
      </w:r>
      <w:r w:rsidRPr="004E7B57">
        <w:tab/>
      </w:r>
      <w:r w:rsidRPr="004E7B57">
        <w:tab/>
      </w:r>
      <w:r w:rsidRPr="004E7B57">
        <w:tab/>
      </w:r>
    </w:p>
    <w:p w14:paraId="44944ECC" w14:textId="7BCAECB5" w:rsidR="000546D5" w:rsidRPr="00270360" w:rsidRDefault="00856EDC" w:rsidP="00270360">
      <w:pPr>
        <w:jc w:val="center"/>
        <w:rPr>
          <w:b/>
          <w:bCs/>
        </w:rPr>
      </w:pPr>
      <w:r w:rsidRPr="00270360">
        <w:rPr>
          <w:b/>
          <w:bCs/>
        </w:rPr>
        <w:t xml:space="preserve">Τμήμα </w:t>
      </w:r>
      <w:r w:rsidR="00570DFE" w:rsidRPr="00270360">
        <w:rPr>
          <w:b/>
          <w:bCs/>
        </w:rPr>
        <w:t>Ι</w:t>
      </w:r>
      <w:r w:rsidRPr="00270360">
        <w:rPr>
          <w:b/>
          <w:bCs/>
        </w:rPr>
        <w:t>V : Δικαιολογητικά</w:t>
      </w:r>
    </w:p>
    <w:p w14:paraId="089FB331" w14:textId="77777777" w:rsidR="000546D5" w:rsidRPr="004E7B57" w:rsidRDefault="000546D5" w:rsidP="00E76414">
      <w:pPr>
        <w:pStyle w:val="a3"/>
      </w:pPr>
    </w:p>
    <w:p w14:paraId="2491BF35" w14:textId="3F8574DA" w:rsidR="000546D5" w:rsidRPr="004E7B57" w:rsidRDefault="00856EDC" w:rsidP="00E76414">
      <w:r w:rsidRPr="004E7B57">
        <w:t xml:space="preserve">Για τη συμμετοχή μου / του νομικού προσώπου στην Ανταγωνιστική Διαδικασία υποβολής προσφορών της </w:t>
      </w:r>
      <w:r w:rsidR="00CF21E9" w:rsidRPr="004E7B57">
        <w:t>Ρ.Α.Α.Ε.Υ.</w:t>
      </w:r>
      <w:r w:rsidRPr="004E7B57">
        <w:t xml:space="preserve"> για </w:t>
      </w:r>
      <w:r w:rsidR="007F05FD" w:rsidRPr="004E7B57">
        <w:t xml:space="preserve">τη χορήγηση επενδυτικής και λειτουργικής ενίσχυσης σε σταθμούς αποθήκευσης ηλεκτρικής ενέργειας, σύμφωνα με την </w:t>
      </w:r>
      <w:proofErr w:type="spellStart"/>
      <w:r w:rsidR="007F05FD" w:rsidRPr="004E7B57">
        <w:t>υποπαρ</w:t>
      </w:r>
      <w:proofErr w:type="spellEnd"/>
      <w:r w:rsidR="007F05FD" w:rsidRPr="004E7B57">
        <w:t xml:space="preserve">. 2α της παρ. 2 του άρθρου 143στ του ν. 4001/2011 (Α’ 179), </w:t>
      </w:r>
      <w:r w:rsidRPr="004E7B57">
        <w:t>υποβάλω, σύμφωνα με τους όρους της Προκήρυξης, τα κάτωθι δικαιολογητικά:</w:t>
      </w:r>
    </w:p>
    <w:p w14:paraId="06612568" w14:textId="77777777" w:rsidR="000546D5" w:rsidRDefault="000546D5" w:rsidP="00E76414">
      <w:pPr>
        <w:pStyle w:val="a3"/>
      </w:pPr>
    </w:p>
    <w:p w14:paraId="57E4AF64" w14:textId="77777777" w:rsidR="000546D5" w:rsidRPr="004E7B57" w:rsidRDefault="00856EDC" w:rsidP="00E76414">
      <w:r w:rsidRPr="004E7B57">
        <w:rPr>
          <w:b/>
        </w:rPr>
        <w:t xml:space="preserve">Α. </w:t>
      </w:r>
      <w:r w:rsidRPr="00A75050">
        <w:rPr>
          <w:b/>
          <w:bCs/>
        </w:rPr>
        <w:t>(Συμπληρώνεται ο κατωτέρω πίνακας κατά περίπτωση)</w:t>
      </w:r>
    </w:p>
    <w:p w14:paraId="7B297A66" w14:textId="77777777" w:rsidR="000546D5" w:rsidRPr="004E7B57" w:rsidRDefault="000546D5" w:rsidP="00E76414">
      <w:pPr>
        <w:pStyle w:val="a3"/>
      </w:pPr>
    </w:p>
    <w:p w14:paraId="01498A8D" w14:textId="77777777" w:rsidR="000546D5" w:rsidRPr="004E7B57" w:rsidRDefault="00856EDC" w:rsidP="00E76414">
      <w:r w:rsidRPr="00F1093A">
        <w:rPr>
          <w:b/>
          <w:bCs/>
        </w:rPr>
        <w:t>Α.1. Φυσικό Πρόσωπο</w:t>
      </w:r>
    </w:p>
    <w:p w14:paraId="7D55017C" w14:textId="77777777" w:rsidR="000546D5" w:rsidRPr="004E7B57" w:rsidRDefault="000546D5" w:rsidP="00E76414">
      <w:pPr>
        <w:pStyle w:val="a3"/>
      </w:pPr>
    </w:p>
    <w:tbl>
      <w:tblPr>
        <w:tblStyle w:val="TableNormal1"/>
        <w:tblW w:w="9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
        <w:gridCol w:w="30"/>
        <w:gridCol w:w="4513"/>
        <w:gridCol w:w="1470"/>
        <w:gridCol w:w="2328"/>
      </w:tblGrid>
      <w:tr w:rsidR="001E4418" w:rsidRPr="004E7B57" w14:paraId="2098CDD3" w14:textId="77777777" w:rsidTr="001E4418">
        <w:trPr>
          <w:trHeight w:val="824"/>
        </w:trPr>
        <w:tc>
          <w:tcPr>
            <w:tcW w:w="979" w:type="dxa"/>
          </w:tcPr>
          <w:p w14:paraId="4126F014" w14:textId="77777777" w:rsidR="001E4418" w:rsidRPr="004E7B57" w:rsidRDefault="001E4418" w:rsidP="00F1093A">
            <w:pPr>
              <w:pStyle w:val="TableParagraph"/>
              <w:spacing w:line="240" w:lineRule="auto"/>
            </w:pPr>
            <w:r w:rsidRPr="004E7B57">
              <w:t>Α/Α</w:t>
            </w:r>
          </w:p>
        </w:tc>
        <w:tc>
          <w:tcPr>
            <w:tcW w:w="30" w:type="dxa"/>
          </w:tcPr>
          <w:p w14:paraId="0DD50237" w14:textId="4BCF6444" w:rsidR="001E4418" w:rsidRPr="004E7B57" w:rsidRDefault="001E4418" w:rsidP="00F1093A">
            <w:pPr>
              <w:pStyle w:val="TableParagraph"/>
              <w:spacing w:line="240" w:lineRule="auto"/>
            </w:pPr>
          </w:p>
        </w:tc>
        <w:tc>
          <w:tcPr>
            <w:tcW w:w="4513" w:type="dxa"/>
          </w:tcPr>
          <w:p w14:paraId="3FC2AE61" w14:textId="1CF6C0B7" w:rsidR="001E4418" w:rsidRPr="004E7B57" w:rsidRDefault="001E4418" w:rsidP="00F1093A">
            <w:pPr>
              <w:pStyle w:val="TableParagraph"/>
              <w:spacing w:line="240" w:lineRule="auto"/>
            </w:pPr>
            <w:r w:rsidRPr="004E7B57">
              <w:t>Είδος</w:t>
            </w:r>
          </w:p>
        </w:tc>
        <w:tc>
          <w:tcPr>
            <w:tcW w:w="1470" w:type="dxa"/>
          </w:tcPr>
          <w:p w14:paraId="2AA89422" w14:textId="7E79BE29" w:rsidR="001E4418" w:rsidRPr="004E7B57" w:rsidRDefault="001E4418" w:rsidP="00F1093A">
            <w:pPr>
              <w:pStyle w:val="TableParagraph"/>
              <w:spacing w:line="240" w:lineRule="auto"/>
            </w:pPr>
            <w:r w:rsidRPr="004E7B57">
              <w:t>ΝΑΙ/ΟΧΙ</w:t>
            </w:r>
          </w:p>
        </w:tc>
        <w:tc>
          <w:tcPr>
            <w:tcW w:w="2328" w:type="dxa"/>
          </w:tcPr>
          <w:p w14:paraId="24DF2B9C" w14:textId="77777777" w:rsidR="001E4418" w:rsidRPr="004E7B57" w:rsidRDefault="001E4418" w:rsidP="00F1093A">
            <w:pPr>
              <w:pStyle w:val="TableParagraph"/>
              <w:spacing w:line="240" w:lineRule="auto"/>
            </w:pPr>
            <w:r w:rsidRPr="004E7B57">
              <w:t>Λοιπά Στοιχεία</w:t>
            </w:r>
          </w:p>
        </w:tc>
      </w:tr>
      <w:tr w:rsidR="001E4418" w:rsidRPr="004E7B57" w14:paraId="652DE347" w14:textId="77777777" w:rsidTr="001E4418">
        <w:trPr>
          <w:trHeight w:val="822"/>
        </w:trPr>
        <w:tc>
          <w:tcPr>
            <w:tcW w:w="979" w:type="dxa"/>
          </w:tcPr>
          <w:p w14:paraId="211CDC70" w14:textId="48394C82" w:rsidR="001E4418" w:rsidRPr="004E7B57" w:rsidRDefault="001E4418" w:rsidP="00F1093A">
            <w:pPr>
              <w:pStyle w:val="TableParagraph"/>
              <w:spacing w:line="240" w:lineRule="auto"/>
            </w:pPr>
            <w:r w:rsidRPr="004E7B57">
              <w:t>Α.1.1</w:t>
            </w:r>
          </w:p>
        </w:tc>
        <w:tc>
          <w:tcPr>
            <w:tcW w:w="30" w:type="dxa"/>
          </w:tcPr>
          <w:p w14:paraId="6B4184C9" w14:textId="77BF6EE4" w:rsidR="001E4418" w:rsidRPr="004E7B57" w:rsidRDefault="001E4418" w:rsidP="00F1093A">
            <w:pPr>
              <w:pStyle w:val="TableParagraph"/>
              <w:spacing w:line="240" w:lineRule="auto"/>
            </w:pPr>
          </w:p>
        </w:tc>
        <w:tc>
          <w:tcPr>
            <w:tcW w:w="4513" w:type="dxa"/>
          </w:tcPr>
          <w:p w14:paraId="6C7E5A15" w14:textId="67F835C9" w:rsidR="001E4418" w:rsidRPr="004E7B57" w:rsidRDefault="001E4418" w:rsidP="00F1093A">
            <w:pPr>
              <w:pStyle w:val="TableParagraph"/>
              <w:spacing w:line="240" w:lineRule="auto"/>
            </w:pPr>
            <w:r w:rsidRPr="004E7B57">
              <w:t>Αίτηση Συμμετοχής - Υπεύθυνη Δήλωση</w:t>
            </w:r>
          </w:p>
        </w:tc>
        <w:tc>
          <w:tcPr>
            <w:tcW w:w="1470" w:type="dxa"/>
          </w:tcPr>
          <w:p w14:paraId="4652C1E1" w14:textId="2BEC2AC7" w:rsidR="001E4418" w:rsidRPr="004E7B57" w:rsidRDefault="001E4418" w:rsidP="00F1093A">
            <w:pPr>
              <w:pStyle w:val="TableParagraph"/>
              <w:spacing w:line="240" w:lineRule="auto"/>
            </w:pPr>
            <w:r w:rsidRPr="004E7B57">
              <w:t>ΝΑΙ/ΟΧΙ</w:t>
            </w:r>
          </w:p>
        </w:tc>
        <w:tc>
          <w:tcPr>
            <w:tcW w:w="2328" w:type="dxa"/>
          </w:tcPr>
          <w:p w14:paraId="3091D1E4" w14:textId="77777777" w:rsidR="001E4418" w:rsidRPr="004E7B57" w:rsidRDefault="001E4418" w:rsidP="00F1093A">
            <w:pPr>
              <w:pStyle w:val="TableParagraph"/>
              <w:spacing w:line="240" w:lineRule="auto"/>
            </w:pPr>
          </w:p>
        </w:tc>
      </w:tr>
      <w:tr w:rsidR="001E4418" w:rsidRPr="004E7B57" w14:paraId="246F34FA" w14:textId="77777777" w:rsidTr="001E4418">
        <w:trPr>
          <w:trHeight w:val="202"/>
        </w:trPr>
        <w:tc>
          <w:tcPr>
            <w:tcW w:w="979" w:type="dxa"/>
            <w:tcBorders>
              <w:bottom w:val="nil"/>
            </w:tcBorders>
          </w:tcPr>
          <w:p w14:paraId="0F48FD5F" w14:textId="49FA3767" w:rsidR="001E4418" w:rsidRPr="004E7B57" w:rsidRDefault="001E4418" w:rsidP="00F1093A">
            <w:pPr>
              <w:pStyle w:val="TableParagraph"/>
              <w:spacing w:line="240" w:lineRule="auto"/>
            </w:pPr>
            <w:r w:rsidRPr="004E7B57">
              <w:t>Α.1.2.</w:t>
            </w:r>
          </w:p>
        </w:tc>
        <w:tc>
          <w:tcPr>
            <w:tcW w:w="30" w:type="dxa"/>
            <w:tcBorders>
              <w:bottom w:val="nil"/>
            </w:tcBorders>
          </w:tcPr>
          <w:p w14:paraId="7E2CD2D7" w14:textId="060E1618" w:rsidR="001E4418" w:rsidRPr="004E7B57" w:rsidRDefault="001E4418" w:rsidP="00F1093A">
            <w:pPr>
              <w:pStyle w:val="TableParagraph"/>
              <w:spacing w:line="240" w:lineRule="auto"/>
            </w:pPr>
          </w:p>
        </w:tc>
        <w:tc>
          <w:tcPr>
            <w:tcW w:w="4513" w:type="dxa"/>
            <w:tcBorders>
              <w:bottom w:val="nil"/>
            </w:tcBorders>
          </w:tcPr>
          <w:p w14:paraId="18A17E30" w14:textId="48BFC3F3" w:rsidR="001E4418" w:rsidRPr="004E7B57" w:rsidRDefault="001E4418" w:rsidP="00F1093A">
            <w:pPr>
              <w:pStyle w:val="TableParagraph"/>
              <w:spacing w:line="240" w:lineRule="auto"/>
            </w:pPr>
            <w:r w:rsidRPr="004E7B57">
              <w:t>Αίτηση τροποποίησης ή κατάτμησης άδειας αποθήκευσης</w:t>
            </w:r>
          </w:p>
        </w:tc>
        <w:tc>
          <w:tcPr>
            <w:tcW w:w="1470" w:type="dxa"/>
            <w:tcBorders>
              <w:bottom w:val="nil"/>
            </w:tcBorders>
          </w:tcPr>
          <w:p w14:paraId="0672C97D" w14:textId="5FD9739E" w:rsidR="001E4418" w:rsidRPr="004E7B57" w:rsidRDefault="001E4418" w:rsidP="00F1093A">
            <w:pPr>
              <w:pStyle w:val="TableParagraph"/>
              <w:spacing w:line="240" w:lineRule="auto"/>
            </w:pPr>
            <w:r w:rsidRPr="004E7B57">
              <w:t>ΝΑΙ/ΟΧΙ</w:t>
            </w:r>
          </w:p>
        </w:tc>
        <w:tc>
          <w:tcPr>
            <w:tcW w:w="2328" w:type="dxa"/>
            <w:tcBorders>
              <w:bottom w:val="nil"/>
            </w:tcBorders>
          </w:tcPr>
          <w:p w14:paraId="64DA43FD" w14:textId="77777777" w:rsidR="001E4418" w:rsidRPr="004E7B57" w:rsidRDefault="001E4418" w:rsidP="00F1093A">
            <w:pPr>
              <w:pStyle w:val="TableParagraph"/>
              <w:spacing w:line="240" w:lineRule="auto"/>
            </w:pPr>
          </w:p>
        </w:tc>
      </w:tr>
      <w:tr w:rsidR="001E4418" w:rsidRPr="004E7B57" w14:paraId="2F4D7E17" w14:textId="77777777" w:rsidTr="001E4418">
        <w:trPr>
          <w:trHeight w:val="202"/>
        </w:trPr>
        <w:tc>
          <w:tcPr>
            <w:tcW w:w="979" w:type="dxa"/>
            <w:tcBorders>
              <w:bottom w:val="nil"/>
            </w:tcBorders>
          </w:tcPr>
          <w:p w14:paraId="2C7517A0" w14:textId="0D3E48C4" w:rsidR="001E4418" w:rsidRPr="004E7B57" w:rsidRDefault="001E4418" w:rsidP="00F1093A">
            <w:pPr>
              <w:pStyle w:val="TableParagraph"/>
              <w:spacing w:line="240" w:lineRule="auto"/>
            </w:pPr>
            <w:r w:rsidRPr="004E7B57">
              <w:t>Α.1.3</w:t>
            </w:r>
          </w:p>
        </w:tc>
        <w:tc>
          <w:tcPr>
            <w:tcW w:w="30" w:type="dxa"/>
            <w:tcBorders>
              <w:bottom w:val="nil"/>
            </w:tcBorders>
          </w:tcPr>
          <w:p w14:paraId="23182021" w14:textId="65725488" w:rsidR="001E4418" w:rsidRPr="004E7B57" w:rsidRDefault="001E4418" w:rsidP="00F1093A">
            <w:pPr>
              <w:pStyle w:val="TableParagraph"/>
              <w:spacing w:line="240" w:lineRule="auto"/>
            </w:pPr>
          </w:p>
        </w:tc>
        <w:tc>
          <w:tcPr>
            <w:tcW w:w="4513" w:type="dxa"/>
            <w:tcBorders>
              <w:bottom w:val="nil"/>
            </w:tcBorders>
          </w:tcPr>
          <w:p w14:paraId="6F956502" w14:textId="01C7E3F8" w:rsidR="001E4418" w:rsidRPr="004E7B57" w:rsidRDefault="001E4418" w:rsidP="00F1093A">
            <w:pPr>
              <w:pStyle w:val="TableParagraph"/>
              <w:spacing w:line="240" w:lineRule="auto"/>
            </w:pPr>
            <w:r w:rsidRPr="004E7B57">
              <w:t>Αποδεικτικό</w:t>
            </w:r>
            <w:r w:rsidRPr="004E7B57">
              <w:tab/>
              <w:t>καταβολής</w:t>
            </w:r>
            <w:r w:rsidR="00A75050">
              <w:t xml:space="preserve">  </w:t>
            </w:r>
          </w:p>
        </w:tc>
        <w:tc>
          <w:tcPr>
            <w:tcW w:w="1470" w:type="dxa"/>
            <w:tcBorders>
              <w:bottom w:val="nil"/>
            </w:tcBorders>
          </w:tcPr>
          <w:p w14:paraId="5150E175" w14:textId="2F68BAA6" w:rsidR="001E4418" w:rsidRPr="004E7B57" w:rsidRDefault="001E4418" w:rsidP="00F1093A">
            <w:pPr>
              <w:pStyle w:val="TableParagraph"/>
              <w:spacing w:line="240" w:lineRule="auto"/>
            </w:pPr>
            <w:r w:rsidRPr="004E7B57">
              <w:t>ΝΑΙ/ΟΧΙ</w:t>
            </w:r>
          </w:p>
        </w:tc>
        <w:tc>
          <w:tcPr>
            <w:tcW w:w="2328" w:type="dxa"/>
            <w:tcBorders>
              <w:bottom w:val="nil"/>
            </w:tcBorders>
          </w:tcPr>
          <w:p w14:paraId="63F45428" w14:textId="77777777" w:rsidR="001E4418" w:rsidRPr="004E7B57" w:rsidRDefault="001E4418" w:rsidP="00F1093A">
            <w:pPr>
              <w:pStyle w:val="TableParagraph"/>
              <w:spacing w:line="240" w:lineRule="auto"/>
            </w:pPr>
            <w:r w:rsidRPr="004E7B57">
              <w:t>Ημερομηνία κατάθεσης:</w:t>
            </w:r>
          </w:p>
        </w:tc>
      </w:tr>
      <w:tr w:rsidR="001E4418" w:rsidRPr="004E7B57" w14:paraId="72D80998" w14:textId="77777777" w:rsidTr="00A75050">
        <w:trPr>
          <w:trHeight w:val="264"/>
        </w:trPr>
        <w:tc>
          <w:tcPr>
            <w:tcW w:w="979" w:type="dxa"/>
            <w:tcBorders>
              <w:top w:val="nil"/>
              <w:bottom w:val="single" w:sz="4" w:space="0" w:color="auto"/>
            </w:tcBorders>
          </w:tcPr>
          <w:p w14:paraId="4AEAFFFD" w14:textId="3FF24ABF" w:rsidR="001E4418" w:rsidRPr="004E7B57" w:rsidRDefault="001E4418" w:rsidP="00F1093A">
            <w:pPr>
              <w:pStyle w:val="TableParagraph"/>
              <w:spacing w:line="240" w:lineRule="auto"/>
            </w:pPr>
          </w:p>
        </w:tc>
        <w:tc>
          <w:tcPr>
            <w:tcW w:w="30" w:type="dxa"/>
            <w:tcBorders>
              <w:top w:val="nil"/>
              <w:bottom w:val="single" w:sz="4" w:space="0" w:color="auto"/>
            </w:tcBorders>
          </w:tcPr>
          <w:p w14:paraId="346B5943" w14:textId="77777777" w:rsidR="001E4418" w:rsidRPr="004E7B57" w:rsidRDefault="001E4418" w:rsidP="00F1093A">
            <w:pPr>
              <w:pStyle w:val="TableParagraph"/>
              <w:spacing w:line="240" w:lineRule="auto"/>
            </w:pPr>
          </w:p>
        </w:tc>
        <w:tc>
          <w:tcPr>
            <w:tcW w:w="4513" w:type="dxa"/>
            <w:tcBorders>
              <w:top w:val="nil"/>
              <w:bottom w:val="single" w:sz="4" w:space="0" w:color="auto"/>
            </w:tcBorders>
          </w:tcPr>
          <w:p w14:paraId="154C3CB4" w14:textId="77777777" w:rsidR="001E4418" w:rsidRPr="004E7B57" w:rsidRDefault="001E4418" w:rsidP="00F1093A">
            <w:pPr>
              <w:pStyle w:val="TableParagraph"/>
              <w:spacing w:line="240" w:lineRule="auto"/>
            </w:pPr>
            <w:r w:rsidRPr="004E7B57">
              <w:t>Τέλους Συμμετοχής</w:t>
            </w:r>
          </w:p>
        </w:tc>
        <w:tc>
          <w:tcPr>
            <w:tcW w:w="1470" w:type="dxa"/>
            <w:tcBorders>
              <w:top w:val="nil"/>
              <w:bottom w:val="single" w:sz="4" w:space="0" w:color="auto"/>
            </w:tcBorders>
          </w:tcPr>
          <w:p w14:paraId="28C1854E" w14:textId="5E150578" w:rsidR="001E4418" w:rsidRPr="004E7B57" w:rsidRDefault="001E4418" w:rsidP="00F1093A">
            <w:pPr>
              <w:pStyle w:val="TableParagraph"/>
              <w:spacing w:line="240" w:lineRule="auto"/>
            </w:pPr>
          </w:p>
        </w:tc>
        <w:tc>
          <w:tcPr>
            <w:tcW w:w="2328" w:type="dxa"/>
            <w:tcBorders>
              <w:top w:val="nil"/>
              <w:bottom w:val="single" w:sz="4" w:space="0" w:color="auto"/>
            </w:tcBorders>
          </w:tcPr>
          <w:p w14:paraId="31430308" w14:textId="77777777" w:rsidR="001E4418" w:rsidRPr="004E7B57" w:rsidRDefault="001E4418" w:rsidP="00F1093A">
            <w:pPr>
              <w:pStyle w:val="TableParagraph"/>
              <w:spacing w:line="240" w:lineRule="auto"/>
            </w:pPr>
            <w:r w:rsidRPr="004E7B57">
              <w:t>......./...../20….</w:t>
            </w:r>
          </w:p>
        </w:tc>
      </w:tr>
      <w:tr w:rsidR="00A75050" w:rsidRPr="004E7B57" w14:paraId="1DD62D9C" w14:textId="77777777" w:rsidTr="00A75050">
        <w:trPr>
          <w:trHeight w:val="264"/>
        </w:trPr>
        <w:tc>
          <w:tcPr>
            <w:tcW w:w="979" w:type="dxa"/>
            <w:tcBorders>
              <w:top w:val="single" w:sz="4" w:space="0" w:color="auto"/>
            </w:tcBorders>
          </w:tcPr>
          <w:p w14:paraId="41B4F891" w14:textId="526A9E65" w:rsidR="00A75050" w:rsidRPr="004E7B57" w:rsidRDefault="00A75050" w:rsidP="00F1093A">
            <w:pPr>
              <w:pStyle w:val="TableParagraph"/>
              <w:spacing w:line="240" w:lineRule="auto"/>
            </w:pPr>
            <w:r w:rsidRPr="004E7B57">
              <w:t>Α.1. 4</w:t>
            </w:r>
          </w:p>
        </w:tc>
        <w:tc>
          <w:tcPr>
            <w:tcW w:w="30" w:type="dxa"/>
            <w:tcBorders>
              <w:top w:val="single" w:sz="4" w:space="0" w:color="auto"/>
            </w:tcBorders>
          </w:tcPr>
          <w:p w14:paraId="56B0A0C0" w14:textId="77777777" w:rsidR="00A75050" w:rsidRPr="004E7B57" w:rsidRDefault="00A75050" w:rsidP="00F1093A">
            <w:pPr>
              <w:pStyle w:val="TableParagraph"/>
              <w:spacing w:line="240" w:lineRule="auto"/>
            </w:pPr>
          </w:p>
        </w:tc>
        <w:tc>
          <w:tcPr>
            <w:tcW w:w="4513" w:type="dxa"/>
            <w:tcBorders>
              <w:top w:val="single" w:sz="4" w:space="0" w:color="auto"/>
            </w:tcBorders>
          </w:tcPr>
          <w:p w14:paraId="5113C9EE" w14:textId="7EB39369" w:rsidR="00A75050" w:rsidRPr="004E7B57" w:rsidRDefault="00A75050" w:rsidP="00F1093A">
            <w:pPr>
              <w:pStyle w:val="TableParagraph"/>
              <w:spacing w:line="240" w:lineRule="auto"/>
            </w:pPr>
            <w:r w:rsidRPr="004E7B57">
              <w:t>Εγγυητική Επιστολή Συμμετοχής</w:t>
            </w:r>
          </w:p>
        </w:tc>
        <w:tc>
          <w:tcPr>
            <w:tcW w:w="1470" w:type="dxa"/>
            <w:tcBorders>
              <w:top w:val="single" w:sz="4" w:space="0" w:color="auto"/>
            </w:tcBorders>
          </w:tcPr>
          <w:p w14:paraId="7F3683AD" w14:textId="4BBDC053" w:rsidR="00A75050" w:rsidRPr="004E7B57" w:rsidRDefault="00A75050" w:rsidP="00F1093A">
            <w:pPr>
              <w:pStyle w:val="TableParagraph"/>
              <w:spacing w:line="240" w:lineRule="auto"/>
            </w:pPr>
            <w:r w:rsidRPr="004E7B57">
              <w:t>ΝΑΙ/ΟΧΙ</w:t>
            </w:r>
          </w:p>
        </w:tc>
        <w:tc>
          <w:tcPr>
            <w:tcW w:w="2328" w:type="dxa"/>
            <w:tcBorders>
              <w:top w:val="single" w:sz="4" w:space="0" w:color="auto"/>
            </w:tcBorders>
          </w:tcPr>
          <w:p w14:paraId="0DB55875" w14:textId="77777777" w:rsidR="00A75050" w:rsidRPr="004E7B57" w:rsidRDefault="00A75050" w:rsidP="00A75050">
            <w:pPr>
              <w:pStyle w:val="TableParagraph"/>
              <w:spacing w:line="240" w:lineRule="auto"/>
            </w:pPr>
            <w:proofErr w:type="spellStart"/>
            <w:r w:rsidRPr="004E7B57">
              <w:t>Αρ</w:t>
            </w:r>
            <w:proofErr w:type="spellEnd"/>
            <w:r w:rsidRPr="004E7B57">
              <w:t>. Εγγυητικής Επιστολής:</w:t>
            </w:r>
          </w:p>
          <w:p w14:paraId="010F443E" w14:textId="77777777" w:rsidR="00A75050" w:rsidRPr="004E7B57" w:rsidRDefault="00A75050" w:rsidP="00A75050">
            <w:pPr>
              <w:pStyle w:val="TableParagraph"/>
              <w:spacing w:line="240" w:lineRule="auto"/>
            </w:pPr>
            <w:r w:rsidRPr="004E7B57">
              <w:t>Αρχή Έκδοσης:</w:t>
            </w:r>
          </w:p>
          <w:p w14:paraId="41B9B9CB" w14:textId="77777777" w:rsidR="00A75050" w:rsidRPr="004E7B57" w:rsidRDefault="00A75050" w:rsidP="00A75050">
            <w:pPr>
              <w:pStyle w:val="TableParagraph"/>
              <w:spacing w:line="240" w:lineRule="auto"/>
            </w:pPr>
            <w:r w:rsidRPr="004E7B57">
              <w:t>Ημερομηνία έκδοσης:</w:t>
            </w:r>
          </w:p>
          <w:p w14:paraId="69668A57" w14:textId="0D196E3A" w:rsidR="00A75050" w:rsidRPr="004E7B57" w:rsidRDefault="00A75050" w:rsidP="00A75050">
            <w:pPr>
              <w:pStyle w:val="TableParagraph"/>
              <w:spacing w:line="240" w:lineRule="auto"/>
            </w:pPr>
            <w:r w:rsidRPr="004E7B57">
              <w:t xml:space="preserve">    Ποσό €</w:t>
            </w:r>
          </w:p>
        </w:tc>
      </w:tr>
    </w:tbl>
    <w:p w14:paraId="721A5325" w14:textId="77777777" w:rsidR="000546D5" w:rsidRPr="004E7B57" w:rsidRDefault="000546D5" w:rsidP="00E76414"/>
    <w:p w14:paraId="7AA46DBF" w14:textId="23A65EF8" w:rsidR="00A75050" w:rsidRDefault="00A75050">
      <w:pPr>
        <w:tabs>
          <w:tab w:val="clear" w:pos="1189"/>
        </w:tabs>
        <w:spacing w:after="0" w:line="240" w:lineRule="auto"/>
        <w:ind w:right="0"/>
        <w:jc w:val="left"/>
        <w:rPr>
          <w:sz w:val="20"/>
          <w:szCs w:val="20"/>
        </w:rPr>
      </w:pPr>
      <w:r>
        <w:br w:type="page"/>
      </w:r>
    </w:p>
    <w:p w14:paraId="111325C9" w14:textId="0C88AA5C" w:rsidR="000546D5" w:rsidRPr="004E7B57" w:rsidRDefault="00856EDC" w:rsidP="00E76414">
      <w:r w:rsidRPr="00F1093A">
        <w:rPr>
          <w:b/>
          <w:bCs/>
        </w:rPr>
        <w:lastRenderedPageBreak/>
        <w:t>Α.2</w:t>
      </w:r>
      <w:r w:rsidRPr="004E7B57">
        <w:t xml:space="preserve"> </w:t>
      </w:r>
      <w:r w:rsidRPr="00F1093A">
        <w:rPr>
          <w:b/>
          <w:bCs/>
        </w:rPr>
        <w:t>Νομικά Πρόσωπα</w:t>
      </w:r>
      <w:r w:rsidRPr="004E7B57">
        <w:t xml:space="preserve"> </w:t>
      </w:r>
      <w:r w:rsidR="007F05FD" w:rsidRPr="004E7B57">
        <w:t>[</w:t>
      </w:r>
      <w:r w:rsidRPr="004E7B57">
        <w:t>Α.Ε., Ο.Ε., Ε.Ε., Ε.Π.Ε., Ι.Κ.Ε., Νομικό Πρόσωπο Δημοσίου Δικαίου (Ν.Π.Δ.Δ.), Νομικό Πρόσωπο Ιδιωτικού Δικαίου (Ν.Π.Ι.Δ.), ίδρυμα, σωματείο, συνεταιρισμός ή Ενεργειακή Κοινότητα</w:t>
      </w:r>
      <w:r w:rsidR="006B5D75" w:rsidRPr="004E7B57">
        <w:t xml:space="preserve">/ Κοινότητα Ανανεώσιμης Ενέργειας/ Ενεργειακή Κοινότητα Πολιτών </w:t>
      </w:r>
      <w:r w:rsidR="007F05FD" w:rsidRPr="004E7B57">
        <w:t>]</w:t>
      </w:r>
    </w:p>
    <w:p w14:paraId="269D4AFD" w14:textId="77777777" w:rsidR="000546D5" w:rsidRPr="004E7B57" w:rsidRDefault="000546D5" w:rsidP="00E76414">
      <w:pPr>
        <w:pStyle w:val="a3"/>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
        <w:gridCol w:w="4463"/>
        <w:gridCol w:w="1455"/>
        <w:gridCol w:w="2303"/>
      </w:tblGrid>
      <w:tr w:rsidR="00A75050" w:rsidRPr="004E7B57" w14:paraId="0CC225BB" w14:textId="77777777" w:rsidTr="00252B53">
        <w:trPr>
          <w:trHeight w:val="838"/>
        </w:trPr>
        <w:tc>
          <w:tcPr>
            <w:tcW w:w="849" w:type="dxa"/>
          </w:tcPr>
          <w:p w14:paraId="7B52A3DF" w14:textId="77777777" w:rsidR="00A75050" w:rsidRPr="004E7B57" w:rsidRDefault="00A75050" w:rsidP="00F1093A">
            <w:pPr>
              <w:pStyle w:val="TableParagraph"/>
              <w:spacing w:line="240" w:lineRule="auto"/>
            </w:pPr>
            <w:r w:rsidRPr="004E7B57">
              <w:t>Α/Α</w:t>
            </w:r>
          </w:p>
        </w:tc>
        <w:tc>
          <w:tcPr>
            <w:tcW w:w="4463" w:type="dxa"/>
          </w:tcPr>
          <w:p w14:paraId="5377196E" w14:textId="3784C2D4" w:rsidR="00A75050" w:rsidRPr="004E7B57" w:rsidRDefault="00A75050" w:rsidP="00F1093A">
            <w:pPr>
              <w:pStyle w:val="TableParagraph"/>
              <w:spacing w:line="240" w:lineRule="auto"/>
            </w:pPr>
            <w:r w:rsidRPr="004E7B57">
              <w:t>Είδος</w:t>
            </w:r>
          </w:p>
        </w:tc>
        <w:tc>
          <w:tcPr>
            <w:tcW w:w="1455" w:type="dxa"/>
          </w:tcPr>
          <w:p w14:paraId="1B178327" w14:textId="5D21ABCA" w:rsidR="00A75050" w:rsidRPr="004E7B57" w:rsidRDefault="00A75050" w:rsidP="00F1093A">
            <w:pPr>
              <w:pStyle w:val="TableParagraph"/>
              <w:spacing w:line="240" w:lineRule="auto"/>
            </w:pPr>
            <w:r w:rsidRPr="004E7B57">
              <w:t>ΝΑΙ/ΟΧΙ</w:t>
            </w:r>
          </w:p>
        </w:tc>
        <w:tc>
          <w:tcPr>
            <w:tcW w:w="2303" w:type="dxa"/>
          </w:tcPr>
          <w:p w14:paraId="7BEB4BA6" w14:textId="77777777" w:rsidR="00A75050" w:rsidRPr="004E7B57" w:rsidRDefault="00A75050" w:rsidP="00F1093A">
            <w:pPr>
              <w:pStyle w:val="TableParagraph"/>
              <w:spacing w:line="240" w:lineRule="auto"/>
            </w:pPr>
            <w:r w:rsidRPr="004E7B57">
              <w:t>Λοιπά Στοιχεία</w:t>
            </w:r>
          </w:p>
        </w:tc>
      </w:tr>
      <w:tr w:rsidR="00A75050" w:rsidRPr="004E7B57" w14:paraId="73C6F79E" w14:textId="77777777" w:rsidTr="00252B53">
        <w:trPr>
          <w:trHeight w:val="1008"/>
        </w:trPr>
        <w:tc>
          <w:tcPr>
            <w:tcW w:w="849" w:type="dxa"/>
          </w:tcPr>
          <w:p w14:paraId="0F2E2551" w14:textId="77777777" w:rsidR="00A75050" w:rsidRPr="004E7B57" w:rsidRDefault="00A75050" w:rsidP="00F1093A">
            <w:pPr>
              <w:pStyle w:val="TableParagraph"/>
              <w:spacing w:line="240" w:lineRule="auto"/>
            </w:pPr>
            <w:r w:rsidRPr="004E7B57">
              <w:t>Α.2. 1</w:t>
            </w:r>
          </w:p>
        </w:tc>
        <w:tc>
          <w:tcPr>
            <w:tcW w:w="4463" w:type="dxa"/>
          </w:tcPr>
          <w:p w14:paraId="3D063DC0" w14:textId="48140307" w:rsidR="00A75050" w:rsidRPr="004E7B57" w:rsidRDefault="00A75050" w:rsidP="00F1093A">
            <w:pPr>
              <w:pStyle w:val="TableParagraph"/>
              <w:spacing w:line="240" w:lineRule="auto"/>
            </w:pPr>
            <w:r w:rsidRPr="004E7B57">
              <w:t>Αίτηση Συμμετοχής - Υπεύθυνη</w:t>
            </w:r>
          </w:p>
          <w:p w14:paraId="337BC9F0" w14:textId="77777777" w:rsidR="00A75050" w:rsidRPr="004E7B57" w:rsidRDefault="00A75050" w:rsidP="00F1093A">
            <w:pPr>
              <w:pStyle w:val="TableParagraph"/>
              <w:spacing w:line="240" w:lineRule="auto"/>
            </w:pPr>
            <w:r w:rsidRPr="004E7B57">
              <w:t>Δήλωση</w:t>
            </w:r>
          </w:p>
        </w:tc>
        <w:tc>
          <w:tcPr>
            <w:tcW w:w="1455" w:type="dxa"/>
          </w:tcPr>
          <w:p w14:paraId="2EFED833" w14:textId="41433842" w:rsidR="00A75050" w:rsidRPr="004E7B57" w:rsidRDefault="00A75050" w:rsidP="00F1093A">
            <w:pPr>
              <w:pStyle w:val="TableParagraph"/>
              <w:spacing w:line="240" w:lineRule="auto"/>
            </w:pPr>
            <w:r w:rsidRPr="004E7B57">
              <w:t>ΝΑΙ/ΟΧΙ</w:t>
            </w:r>
          </w:p>
        </w:tc>
        <w:tc>
          <w:tcPr>
            <w:tcW w:w="2303" w:type="dxa"/>
          </w:tcPr>
          <w:p w14:paraId="3020C233" w14:textId="77777777" w:rsidR="00A75050" w:rsidRPr="004E7B57" w:rsidRDefault="00A75050" w:rsidP="00F1093A">
            <w:pPr>
              <w:pStyle w:val="TableParagraph"/>
              <w:spacing w:line="240" w:lineRule="auto"/>
            </w:pPr>
          </w:p>
        </w:tc>
      </w:tr>
      <w:tr w:rsidR="00A75050" w:rsidRPr="004E7B57" w14:paraId="59811F6D" w14:textId="77777777" w:rsidTr="00252B53">
        <w:trPr>
          <w:trHeight w:val="813"/>
        </w:trPr>
        <w:tc>
          <w:tcPr>
            <w:tcW w:w="849" w:type="dxa"/>
          </w:tcPr>
          <w:p w14:paraId="3316581E" w14:textId="77777777" w:rsidR="00A75050" w:rsidRPr="004E7B57" w:rsidRDefault="00A75050" w:rsidP="00F1093A">
            <w:pPr>
              <w:pStyle w:val="TableParagraph"/>
              <w:spacing w:line="240" w:lineRule="auto"/>
            </w:pPr>
            <w:r w:rsidRPr="004E7B57">
              <w:t>Α.2. 2</w:t>
            </w:r>
          </w:p>
        </w:tc>
        <w:tc>
          <w:tcPr>
            <w:tcW w:w="4463" w:type="dxa"/>
          </w:tcPr>
          <w:p w14:paraId="460C3FB6" w14:textId="05708110" w:rsidR="00A75050" w:rsidRPr="004E7B57" w:rsidRDefault="00A75050" w:rsidP="00F1093A">
            <w:pPr>
              <w:pStyle w:val="TableParagraph"/>
              <w:spacing w:line="240" w:lineRule="auto"/>
            </w:pPr>
            <w:r w:rsidRPr="004E7B57">
              <w:t>Αποδεικτικό καταβολής Τέλους Συμμετοχής</w:t>
            </w:r>
          </w:p>
        </w:tc>
        <w:tc>
          <w:tcPr>
            <w:tcW w:w="1455" w:type="dxa"/>
          </w:tcPr>
          <w:p w14:paraId="5EF5140A" w14:textId="4AD225B3" w:rsidR="00A75050" w:rsidRPr="004E7B57" w:rsidRDefault="00A75050" w:rsidP="00F1093A">
            <w:pPr>
              <w:pStyle w:val="TableParagraph"/>
              <w:spacing w:line="240" w:lineRule="auto"/>
            </w:pPr>
            <w:r w:rsidRPr="004E7B57">
              <w:t>ΝΑΙ/ΟΧΙ</w:t>
            </w:r>
          </w:p>
        </w:tc>
        <w:tc>
          <w:tcPr>
            <w:tcW w:w="2303" w:type="dxa"/>
          </w:tcPr>
          <w:p w14:paraId="72EEFBCB" w14:textId="47218B9F" w:rsidR="00A75050" w:rsidRPr="004E7B57" w:rsidRDefault="00A75050" w:rsidP="00F1093A">
            <w:pPr>
              <w:pStyle w:val="TableParagraph"/>
              <w:spacing w:line="240" w:lineRule="auto"/>
            </w:pPr>
            <w:r w:rsidRPr="004E7B57">
              <w:t>Ημερομηνία κατάθεσης:</w:t>
            </w:r>
          </w:p>
          <w:p w14:paraId="553E7E53" w14:textId="77777777" w:rsidR="00A75050" w:rsidRPr="004E7B57" w:rsidRDefault="00A75050" w:rsidP="00F1093A">
            <w:pPr>
              <w:pStyle w:val="TableParagraph"/>
              <w:spacing w:line="240" w:lineRule="auto"/>
            </w:pPr>
            <w:r w:rsidRPr="004E7B57">
              <w:t>......./...../20….</w:t>
            </w:r>
          </w:p>
        </w:tc>
      </w:tr>
      <w:tr w:rsidR="00A75050" w:rsidRPr="004E7B57" w14:paraId="5BEF59C1" w14:textId="77777777" w:rsidTr="00252B53">
        <w:trPr>
          <w:trHeight w:val="1494"/>
        </w:trPr>
        <w:tc>
          <w:tcPr>
            <w:tcW w:w="849" w:type="dxa"/>
          </w:tcPr>
          <w:p w14:paraId="09C30D86" w14:textId="611E02CC" w:rsidR="00A75050" w:rsidRPr="004E7B57" w:rsidRDefault="00A75050" w:rsidP="00F1093A">
            <w:pPr>
              <w:pStyle w:val="TableParagraph"/>
              <w:spacing w:line="240" w:lineRule="auto"/>
            </w:pPr>
            <w:r w:rsidRPr="004E7B57">
              <w:t>Α.2. 3</w:t>
            </w:r>
          </w:p>
        </w:tc>
        <w:tc>
          <w:tcPr>
            <w:tcW w:w="4463" w:type="dxa"/>
          </w:tcPr>
          <w:p w14:paraId="30E29348" w14:textId="77777777" w:rsidR="00A75050" w:rsidRPr="004E7B57" w:rsidRDefault="00A75050" w:rsidP="00F1093A">
            <w:pPr>
              <w:pStyle w:val="TableParagraph"/>
              <w:spacing w:line="240" w:lineRule="auto"/>
            </w:pPr>
            <w:r w:rsidRPr="004E7B57">
              <w:t>Εγγυητική Επιστολή Συμμετοχής</w:t>
            </w:r>
          </w:p>
        </w:tc>
        <w:tc>
          <w:tcPr>
            <w:tcW w:w="1455" w:type="dxa"/>
          </w:tcPr>
          <w:p w14:paraId="7F390C6A" w14:textId="7AFD292D" w:rsidR="00A75050" w:rsidRPr="004E7B57" w:rsidRDefault="00A75050" w:rsidP="00F1093A">
            <w:pPr>
              <w:pStyle w:val="TableParagraph"/>
              <w:spacing w:line="240" w:lineRule="auto"/>
            </w:pPr>
            <w:r w:rsidRPr="004E7B57">
              <w:t>ΝΑΙ/ΟΧΙ</w:t>
            </w:r>
          </w:p>
        </w:tc>
        <w:tc>
          <w:tcPr>
            <w:tcW w:w="2303" w:type="dxa"/>
          </w:tcPr>
          <w:p w14:paraId="24E947C9" w14:textId="1ED58F5D" w:rsidR="00A75050" w:rsidRPr="004E7B57" w:rsidRDefault="00A75050" w:rsidP="00F1093A">
            <w:pPr>
              <w:pStyle w:val="TableParagraph"/>
              <w:spacing w:line="240" w:lineRule="auto"/>
            </w:pPr>
            <w:proofErr w:type="spellStart"/>
            <w:r w:rsidRPr="004E7B57">
              <w:t>Αρ</w:t>
            </w:r>
            <w:proofErr w:type="spellEnd"/>
            <w:r w:rsidRPr="004E7B57">
              <w:t>. Εγγυητικής Επιστολής:</w:t>
            </w:r>
          </w:p>
          <w:p w14:paraId="2473AE82" w14:textId="7CC870E2" w:rsidR="00A75050" w:rsidRPr="004E7B57" w:rsidRDefault="00A75050" w:rsidP="00F1093A">
            <w:pPr>
              <w:pStyle w:val="TableParagraph"/>
              <w:spacing w:line="240" w:lineRule="auto"/>
            </w:pPr>
          </w:p>
          <w:p w14:paraId="0FD2A51D" w14:textId="07EB8A24" w:rsidR="00A75050" w:rsidRPr="004E7B57" w:rsidRDefault="00A75050" w:rsidP="00F1093A">
            <w:pPr>
              <w:pStyle w:val="TableParagraph"/>
              <w:spacing w:line="240" w:lineRule="auto"/>
            </w:pPr>
            <w:r w:rsidRPr="004E7B57">
              <w:t>Αρχή Έκδοσης:</w:t>
            </w:r>
          </w:p>
          <w:p w14:paraId="73263A63" w14:textId="77777777" w:rsidR="00A75050" w:rsidRPr="004E7B57" w:rsidRDefault="00A75050" w:rsidP="00F1093A">
            <w:pPr>
              <w:pStyle w:val="TableParagraph"/>
              <w:spacing w:line="240" w:lineRule="auto"/>
            </w:pPr>
          </w:p>
          <w:p w14:paraId="2A6C9F5F" w14:textId="309F87B7" w:rsidR="00A75050" w:rsidRPr="004E7B57" w:rsidRDefault="00A75050" w:rsidP="00F1093A">
            <w:pPr>
              <w:pStyle w:val="TableParagraph"/>
              <w:spacing w:line="240" w:lineRule="auto"/>
            </w:pPr>
            <w:r w:rsidRPr="004E7B57">
              <w:t>Ημερομηνία έκδοσης:</w:t>
            </w:r>
          </w:p>
          <w:p w14:paraId="1A236BE8" w14:textId="552EA40F" w:rsidR="00A75050" w:rsidRPr="004E7B57" w:rsidRDefault="00A75050" w:rsidP="00F1093A">
            <w:pPr>
              <w:pStyle w:val="TableParagraph"/>
              <w:spacing w:line="240" w:lineRule="auto"/>
            </w:pPr>
            <w:r w:rsidRPr="004E7B57">
              <w:t>Ποσό €:</w:t>
            </w:r>
          </w:p>
        </w:tc>
      </w:tr>
      <w:tr w:rsidR="00A75050" w:rsidRPr="004E7B57" w14:paraId="0346C022" w14:textId="77777777" w:rsidTr="00252B53">
        <w:trPr>
          <w:trHeight w:val="628"/>
        </w:trPr>
        <w:tc>
          <w:tcPr>
            <w:tcW w:w="849" w:type="dxa"/>
          </w:tcPr>
          <w:p w14:paraId="08531CFB" w14:textId="77777777" w:rsidR="00A75050" w:rsidRPr="004E7B57" w:rsidRDefault="00A75050" w:rsidP="00F1093A">
            <w:pPr>
              <w:pStyle w:val="TableParagraph"/>
              <w:spacing w:line="240" w:lineRule="auto"/>
            </w:pPr>
            <w:r w:rsidRPr="004E7B57">
              <w:t>Α.2. 4</w:t>
            </w:r>
          </w:p>
        </w:tc>
        <w:tc>
          <w:tcPr>
            <w:tcW w:w="4463" w:type="dxa"/>
          </w:tcPr>
          <w:p w14:paraId="6D03D7D7" w14:textId="597E473E" w:rsidR="00A75050" w:rsidRPr="004E7B57" w:rsidRDefault="00A75050" w:rsidP="00F1093A">
            <w:pPr>
              <w:pStyle w:val="TableParagraph"/>
              <w:spacing w:line="240" w:lineRule="auto"/>
            </w:pPr>
            <w:r w:rsidRPr="004E7B57">
              <w:t>Απόφαση οργάνου διοίκησης Συμμετέχοντος</w:t>
            </w:r>
          </w:p>
        </w:tc>
        <w:tc>
          <w:tcPr>
            <w:tcW w:w="1455" w:type="dxa"/>
          </w:tcPr>
          <w:p w14:paraId="477C32DD" w14:textId="6FC85BBE" w:rsidR="00A75050" w:rsidRPr="004E7B57" w:rsidRDefault="00A75050" w:rsidP="00F1093A">
            <w:pPr>
              <w:pStyle w:val="TableParagraph"/>
              <w:spacing w:line="240" w:lineRule="auto"/>
            </w:pPr>
            <w:r w:rsidRPr="004E7B57">
              <w:t>ΝΑΙ/ΟΧΙ</w:t>
            </w:r>
          </w:p>
        </w:tc>
        <w:tc>
          <w:tcPr>
            <w:tcW w:w="2303" w:type="dxa"/>
          </w:tcPr>
          <w:p w14:paraId="6DD0EDFC" w14:textId="77777777" w:rsidR="00A75050" w:rsidRPr="004E7B57" w:rsidRDefault="00A75050" w:rsidP="00F1093A">
            <w:pPr>
              <w:pStyle w:val="TableParagraph"/>
              <w:spacing w:line="240" w:lineRule="auto"/>
            </w:pPr>
          </w:p>
        </w:tc>
      </w:tr>
    </w:tbl>
    <w:p w14:paraId="4C458BD4" w14:textId="77777777" w:rsidR="000546D5" w:rsidRDefault="000546D5" w:rsidP="00E76414">
      <w:pPr>
        <w:pStyle w:val="a3"/>
      </w:pPr>
    </w:p>
    <w:p w14:paraId="231215B1" w14:textId="77777777" w:rsidR="000546D5" w:rsidRPr="004E7B57" w:rsidRDefault="00856EDC" w:rsidP="00E76414">
      <w:r w:rsidRPr="004E7B57">
        <w:rPr>
          <w:b/>
        </w:rPr>
        <w:t>Β</w:t>
      </w:r>
      <w:r w:rsidRPr="00F1093A">
        <w:rPr>
          <w:b/>
        </w:rPr>
        <w:t>. (Συμπληρώνεται ο κατωτέρω πίνακας κατά περίπτωση)</w:t>
      </w:r>
    </w:p>
    <w:p w14:paraId="07D6F155" w14:textId="77777777" w:rsidR="000546D5" w:rsidRPr="004E7B57" w:rsidRDefault="000546D5" w:rsidP="00E76414">
      <w:pPr>
        <w:pStyle w:val="a3"/>
      </w:pPr>
    </w:p>
    <w:p w14:paraId="5BF50F09" w14:textId="77777777" w:rsidR="000546D5" w:rsidRPr="00F1093A" w:rsidRDefault="00856EDC" w:rsidP="00E76414">
      <w:pPr>
        <w:rPr>
          <w:b/>
          <w:bCs/>
        </w:rPr>
      </w:pPr>
      <w:r w:rsidRPr="00F1093A">
        <w:rPr>
          <w:b/>
          <w:bCs/>
        </w:rPr>
        <w:t>Β.1. Φυσικό Πρόσωπο</w:t>
      </w:r>
    </w:p>
    <w:p w14:paraId="634EBF35" w14:textId="77777777" w:rsidR="000546D5" w:rsidRPr="004E7B57" w:rsidRDefault="000546D5" w:rsidP="00E76414">
      <w:pPr>
        <w:pStyle w:val="a3"/>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155"/>
        <w:gridCol w:w="1455"/>
        <w:gridCol w:w="2305"/>
      </w:tblGrid>
      <w:tr w:rsidR="00252B53" w:rsidRPr="004E7B57" w14:paraId="323BFC33" w14:textId="77777777" w:rsidTr="00A75050">
        <w:trPr>
          <w:trHeight w:val="609"/>
        </w:trPr>
        <w:tc>
          <w:tcPr>
            <w:tcW w:w="850" w:type="dxa"/>
          </w:tcPr>
          <w:p w14:paraId="5F0A4685" w14:textId="77777777" w:rsidR="00252B53" w:rsidRPr="004E7B57" w:rsidRDefault="00252B53" w:rsidP="00F1093A">
            <w:pPr>
              <w:pStyle w:val="TableParagraph"/>
              <w:spacing w:line="240" w:lineRule="auto"/>
            </w:pPr>
            <w:r w:rsidRPr="004E7B57">
              <w:t>Α/Α</w:t>
            </w:r>
          </w:p>
        </w:tc>
        <w:tc>
          <w:tcPr>
            <w:tcW w:w="3155" w:type="dxa"/>
          </w:tcPr>
          <w:p w14:paraId="426D4E13" w14:textId="1D8FE61F" w:rsidR="00252B53" w:rsidRPr="004E7B57" w:rsidRDefault="00252B53" w:rsidP="00F1093A">
            <w:pPr>
              <w:pStyle w:val="TableParagraph"/>
              <w:spacing w:line="240" w:lineRule="auto"/>
            </w:pPr>
            <w:r w:rsidRPr="004E7B57">
              <w:t>Είδος</w:t>
            </w:r>
          </w:p>
        </w:tc>
        <w:tc>
          <w:tcPr>
            <w:tcW w:w="1455" w:type="dxa"/>
          </w:tcPr>
          <w:p w14:paraId="7659042B" w14:textId="36DDC3E7" w:rsidR="00252B53" w:rsidRPr="004E7B57" w:rsidRDefault="00252B53" w:rsidP="00F1093A">
            <w:pPr>
              <w:pStyle w:val="TableParagraph"/>
              <w:spacing w:line="240" w:lineRule="auto"/>
            </w:pPr>
            <w:r w:rsidRPr="004E7B57">
              <w:t>ΝΑΙ/ΟΧΙ</w:t>
            </w:r>
          </w:p>
        </w:tc>
        <w:tc>
          <w:tcPr>
            <w:tcW w:w="2305" w:type="dxa"/>
          </w:tcPr>
          <w:p w14:paraId="082C9AD1" w14:textId="77777777" w:rsidR="00252B53" w:rsidRPr="004E7B57" w:rsidRDefault="00252B53" w:rsidP="00F1093A">
            <w:pPr>
              <w:pStyle w:val="TableParagraph"/>
              <w:spacing w:line="240" w:lineRule="auto"/>
            </w:pPr>
            <w:r w:rsidRPr="004E7B57">
              <w:t>Λοιπά Στοιχεία</w:t>
            </w:r>
          </w:p>
        </w:tc>
      </w:tr>
      <w:tr w:rsidR="00252B53" w:rsidRPr="004E7B57" w14:paraId="3188B744" w14:textId="77777777" w:rsidTr="00F1093A">
        <w:trPr>
          <w:trHeight w:val="635"/>
        </w:trPr>
        <w:tc>
          <w:tcPr>
            <w:tcW w:w="850" w:type="dxa"/>
          </w:tcPr>
          <w:p w14:paraId="4246F3D0" w14:textId="77777777" w:rsidR="00252B53" w:rsidRPr="004E7B57" w:rsidRDefault="00252B53" w:rsidP="00F1093A">
            <w:pPr>
              <w:pStyle w:val="TableParagraph"/>
              <w:spacing w:line="240" w:lineRule="auto"/>
            </w:pPr>
            <w:r w:rsidRPr="004E7B57">
              <w:t>Β.1.1.</w:t>
            </w:r>
          </w:p>
        </w:tc>
        <w:tc>
          <w:tcPr>
            <w:tcW w:w="3155" w:type="dxa"/>
          </w:tcPr>
          <w:p w14:paraId="34699268" w14:textId="77B554E1" w:rsidR="00252B53" w:rsidRPr="004E7B57" w:rsidRDefault="00252B53" w:rsidP="00F1093A">
            <w:pPr>
              <w:pStyle w:val="TableParagraph"/>
              <w:spacing w:line="240" w:lineRule="auto"/>
            </w:pPr>
            <w:r w:rsidRPr="004E7B57">
              <w:t xml:space="preserve">    Αντίγραφο της αστυνομικής ταυτότητας</w:t>
            </w:r>
          </w:p>
        </w:tc>
        <w:tc>
          <w:tcPr>
            <w:tcW w:w="1455" w:type="dxa"/>
          </w:tcPr>
          <w:p w14:paraId="51225D5F" w14:textId="0A0450D7" w:rsidR="00252B53" w:rsidRPr="004E7B57" w:rsidRDefault="00252B53" w:rsidP="00F1093A">
            <w:pPr>
              <w:pStyle w:val="TableParagraph"/>
              <w:spacing w:line="240" w:lineRule="auto"/>
            </w:pPr>
            <w:r w:rsidRPr="004E7B57">
              <w:t>ΝΑΙ/ΟΧΙ</w:t>
            </w:r>
          </w:p>
        </w:tc>
        <w:tc>
          <w:tcPr>
            <w:tcW w:w="2305" w:type="dxa"/>
          </w:tcPr>
          <w:p w14:paraId="709F7CEE" w14:textId="77777777" w:rsidR="00252B53" w:rsidRPr="004E7B57" w:rsidRDefault="00252B53" w:rsidP="00F1093A">
            <w:pPr>
              <w:pStyle w:val="TableParagraph"/>
              <w:spacing w:line="240" w:lineRule="auto"/>
            </w:pPr>
          </w:p>
        </w:tc>
      </w:tr>
      <w:tr w:rsidR="00252B53" w:rsidRPr="004E7B57" w14:paraId="7D17C6E3" w14:textId="77777777" w:rsidTr="00A75050">
        <w:trPr>
          <w:trHeight w:val="639"/>
        </w:trPr>
        <w:tc>
          <w:tcPr>
            <w:tcW w:w="850" w:type="dxa"/>
          </w:tcPr>
          <w:p w14:paraId="64EB6878" w14:textId="77777777" w:rsidR="00252B53" w:rsidRPr="004E7B57" w:rsidRDefault="00252B53" w:rsidP="00F1093A">
            <w:pPr>
              <w:pStyle w:val="TableParagraph"/>
              <w:spacing w:line="240" w:lineRule="auto"/>
            </w:pPr>
            <w:r w:rsidRPr="004E7B57">
              <w:t>Β.1.2.</w:t>
            </w:r>
          </w:p>
        </w:tc>
        <w:tc>
          <w:tcPr>
            <w:tcW w:w="3155" w:type="dxa"/>
          </w:tcPr>
          <w:p w14:paraId="2B54886F" w14:textId="77B07D22" w:rsidR="00252B53" w:rsidRPr="004E7B57" w:rsidRDefault="00252B53" w:rsidP="00A75050">
            <w:pPr>
              <w:pStyle w:val="TableParagraph"/>
              <w:spacing w:line="240" w:lineRule="auto"/>
            </w:pPr>
            <w:r w:rsidRPr="004E7B57">
              <w:t xml:space="preserve">   Έναρξη Επιτηδεύματος από την</w:t>
            </w:r>
            <w:r w:rsidR="00A75050">
              <w:t xml:space="preserve"> </w:t>
            </w:r>
            <w:r w:rsidRPr="004E7B57">
              <w:t>αρμόδια Δ.Ο.Υ.</w:t>
            </w:r>
          </w:p>
        </w:tc>
        <w:tc>
          <w:tcPr>
            <w:tcW w:w="1455" w:type="dxa"/>
          </w:tcPr>
          <w:p w14:paraId="6502E0A4" w14:textId="629DFE0D" w:rsidR="00252B53" w:rsidRPr="004E7B57" w:rsidRDefault="00252B53" w:rsidP="00F1093A">
            <w:pPr>
              <w:pStyle w:val="TableParagraph"/>
              <w:spacing w:line="240" w:lineRule="auto"/>
            </w:pPr>
            <w:r w:rsidRPr="004E7B57">
              <w:t>ΝΑΙ/ΟΧΙ</w:t>
            </w:r>
          </w:p>
        </w:tc>
        <w:tc>
          <w:tcPr>
            <w:tcW w:w="2305" w:type="dxa"/>
          </w:tcPr>
          <w:p w14:paraId="15F542FE" w14:textId="77777777" w:rsidR="00252B53" w:rsidRPr="004E7B57" w:rsidRDefault="00252B53" w:rsidP="00F1093A">
            <w:pPr>
              <w:pStyle w:val="TableParagraph"/>
              <w:spacing w:line="240" w:lineRule="auto"/>
            </w:pPr>
          </w:p>
        </w:tc>
      </w:tr>
      <w:tr w:rsidR="00252B53" w:rsidRPr="004E7B57" w14:paraId="49F74ED2" w14:textId="77777777" w:rsidTr="00F1093A">
        <w:trPr>
          <w:trHeight w:val="631"/>
        </w:trPr>
        <w:tc>
          <w:tcPr>
            <w:tcW w:w="850" w:type="dxa"/>
          </w:tcPr>
          <w:p w14:paraId="431F49A5" w14:textId="77777777" w:rsidR="00252B53" w:rsidRPr="004E7B57" w:rsidRDefault="00252B53" w:rsidP="00F1093A">
            <w:pPr>
              <w:pStyle w:val="TableParagraph"/>
              <w:spacing w:line="240" w:lineRule="auto"/>
            </w:pPr>
            <w:r w:rsidRPr="004E7B57">
              <w:t>Β.1.3.</w:t>
            </w:r>
          </w:p>
        </w:tc>
        <w:tc>
          <w:tcPr>
            <w:tcW w:w="3155" w:type="dxa"/>
          </w:tcPr>
          <w:p w14:paraId="4F605F18" w14:textId="1DA095BD" w:rsidR="00252B53" w:rsidRPr="004E7B57" w:rsidRDefault="00252B53" w:rsidP="00F1093A">
            <w:pPr>
              <w:pStyle w:val="TableParagraph"/>
              <w:spacing w:line="240" w:lineRule="auto"/>
            </w:pPr>
            <w:r w:rsidRPr="004E7B57">
              <w:t>Μεταβολές έναρξης Επιτηδεύματος από την αρμόδια Δ.Ο.Υ.</w:t>
            </w:r>
          </w:p>
        </w:tc>
        <w:tc>
          <w:tcPr>
            <w:tcW w:w="1455" w:type="dxa"/>
          </w:tcPr>
          <w:p w14:paraId="3F2D012C" w14:textId="18F1A99B" w:rsidR="00252B53" w:rsidRPr="004E7B57" w:rsidRDefault="00252B53" w:rsidP="00F1093A">
            <w:pPr>
              <w:pStyle w:val="TableParagraph"/>
              <w:spacing w:line="240" w:lineRule="auto"/>
            </w:pPr>
            <w:r w:rsidRPr="004E7B57">
              <w:t>ΝΑΙ/ΟΧΙ</w:t>
            </w:r>
          </w:p>
        </w:tc>
        <w:tc>
          <w:tcPr>
            <w:tcW w:w="2305" w:type="dxa"/>
          </w:tcPr>
          <w:p w14:paraId="66BF0A34" w14:textId="77777777" w:rsidR="00252B53" w:rsidRPr="004E7B57" w:rsidRDefault="00252B53" w:rsidP="00F1093A">
            <w:pPr>
              <w:pStyle w:val="TableParagraph"/>
              <w:spacing w:line="240" w:lineRule="auto"/>
            </w:pPr>
          </w:p>
        </w:tc>
      </w:tr>
      <w:tr w:rsidR="00252B53" w:rsidRPr="004E7B57" w14:paraId="02E0E209" w14:textId="77777777" w:rsidTr="00F1093A">
        <w:trPr>
          <w:trHeight w:val="421"/>
        </w:trPr>
        <w:tc>
          <w:tcPr>
            <w:tcW w:w="850" w:type="dxa"/>
          </w:tcPr>
          <w:p w14:paraId="7E81E091" w14:textId="329184DA" w:rsidR="00252B53" w:rsidRPr="004E7B57" w:rsidRDefault="00252B53" w:rsidP="00F1093A">
            <w:pPr>
              <w:pStyle w:val="TableParagraph"/>
              <w:spacing w:line="240" w:lineRule="auto"/>
            </w:pPr>
            <w:r w:rsidRPr="004E7B57">
              <w:t>Β.1.</w:t>
            </w:r>
            <w:r w:rsidR="00B265C7">
              <w:t>4</w:t>
            </w:r>
          </w:p>
        </w:tc>
        <w:tc>
          <w:tcPr>
            <w:tcW w:w="3155" w:type="dxa"/>
          </w:tcPr>
          <w:p w14:paraId="71EC9C13" w14:textId="6EDC6A94" w:rsidR="00252B53" w:rsidRPr="004E7B57" w:rsidRDefault="00252B53" w:rsidP="00F1093A">
            <w:pPr>
              <w:pStyle w:val="TableParagraph"/>
              <w:spacing w:line="240" w:lineRule="auto"/>
            </w:pPr>
            <w:r w:rsidRPr="004E7B57">
              <w:t>Πιστοποιητικό φορολογικής ενημερότητας</w:t>
            </w:r>
          </w:p>
        </w:tc>
        <w:tc>
          <w:tcPr>
            <w:tcW w:w="1455" w:type="dxa"/>
          </w:tcPr>
          <w:p w14:paraId="1D2C67F6" w14:textId="77777777" w:rsidR="00252B53" w:rsidRPr="004E7B57" w:rsidRDefault="00252B53" w:rsidP="00F1093A">
            <w:pPr>
              <w:pStyle w:val="TableParagraph"/>
              <w:spacing w:line="240" w:lineRule="auto"/>
            </w:pPr>
            <w:r w:rsidRPr="004E7B57">
              <w:t>ΝΑΙ/ΟΧ Ι</w:t>
            </w:r>
          </w:p>
        </w:tc>
        <w:tc>
          <w:tcPr>
            <w:tcW w:w="2305" w:type="dxa"/>
          </w:tcPr>
          <w:p w14:paraId="6139D658" w14:textId="77777777" w:rsidR="00252B53" w:rsidRPr="004E7B57" w:rsidRDefault="00252B53" w:rsidP="00F1093A">
            <w:pPr>
              <w:pStyle w:val="TableParagraph"/>
              <w:spacing w:line="240" w:lineRule="auto"/>
            </w:pPr>
          </w:p>
        </w:tc>
      </w:tr>
      <w:tr w:rsidR="00252B53" w:rsidRPr="004E7B57" w14:paraId="4615BAF6" w14:textId="77777777" w:rsidTr="00F1093A">
        <w:trPr>
          <w:trHeight w:val="423"/>
        </w:trPr>
        <w:tc>
          <w:tcPr>
            <w:tcW w:w="850" w:type="dxa"/>
          </w:tcPr>
          <w:p w14:paraId="084C349C" w14:textId="584CBF7F" w:rsidR="00252B53" w:rsidRPr="004E7B57" w:rsidRDefault="00252B53" w:rsidP="00F1093A">
            <w:pPr>
              <w:pStyle w:val="TableParagraph"/>
              <w:spacing w:line="240" w:lineRule="auto"/>
            </w:pPr>
            <w:r w:rsidRPr="004E7B57">
              <w:t>Β.1.</w:t>
            </w:r>
            <w:r w:rsidR="00B265C7">
              <w:t>5</w:t>
            </w:r>
          </w:p>
        </w:tc>
        <w:tc>
          <w:tcPr>
            <w:tcW w:w="3155" w:type="dxa"/>
          </w:tcPr>
          <w:p w14:paraId="669D989A" w14:textId="77777777" w:rsidR="00252B53" w:rsidRPr="004E7B57" w:rsidRDefault="00252B53" w:rsidP="00F1093A">
            <w:pPr>
              <w:pStyle w:val="TableParagraph"/>
              <w:spacing w:line="240" w:lineRule="auto"/>
            </w:pPr>
            <w:r w:rsidRPr="004E7B57">
              <w:t>Πιστοποιητικό ασφαλιστικής ενημερότητας</w:t>
            </w:r>
          </w:p>
        </w:tc>
        <w:tc>
          <w:tcPr>
            <w:tcW w:w="1455" w:type="dxa"/>
          </w:tcPr>
          <w:p w14:paraId="46F44734" w14:textId="77777777" w:rsidR="00252B53" w:rsidRPr="004E7B57" w:rsidRDefault="00252B53" w:rsidP="00F1093A">
            <w:pPr>
              <w:pStyle w:val="TableParagraph"/>
              <w:spacing w:line="240" w:lineRule="auto"/>
            </w:pPr>
            <w:r w:rsidRPr="004E7B57">
              <w:t>ΝΑΙ/ΟΧ Ι</w:t>
            </w:r>
          </w:p>
        </w:tc>
        <w:tc>
          <w:tcPr>
            <w:tcW w:w="2305" w:type="dxa"/>
          </w:tcPr>
          <w:p w14:paraId="080F17EE" w14:textId="77777777" w:rsidR="00252B53" w:rsidRPr="004E7B57" w:rsidRDefault="00252B53" w:rsidP="00F1093A">
            <w:pPr>
              <w:pStyle w:val="TableParagraph"/>
              <w:spacing w:line="240" w:lineRule="auto"/>
            </w:pPr>
          </w:p>
        </w:tc>
      </w:tr>
    </w:tbl>
    <w:p w14:paraId="4AB23D5E" w14:textId="77777777" w:rsidR="000546D5" w:rsidRDefault="000546D5" w:rsidP="00E76414">
      <w:pPr>
        <w:pStyle w:val="a3"/>
      </w:pPr>
    </w:p>
    <w:p w14:paraId="46A6E57C" w14:textId="77777777" w:rsidR="00252B53" w:rsidRDefault="00252B53" w:rsidP="00E76414">
      <w:pPr>
        <w:pStyle w:val="a3"/>
      </w:pPr>
    </w:p>
    <w:p w14:paraId="54F192FC" w14:textId="77777777" w:rsidR="00270360" w:rsidRDefault="00270360" w:rsidP="00E76414">
      <w:pPr>
        <w:pStyle w:val="a3"/>
      </w:pPr>
    </w:p>
    <w:p w14:paraId="7E1CA948" w14:textId="77777777" w:rsidR="00270360" w:rsidRDefault="00270360" w:rsidP="00E76414">
      <w:pPr>
        <w:pStyle w:val="a3"/>
      </w:pPr>
    </w:p>
    <w:p w14:paraId="26EE21A8" w14:textId="77777777" w:rsidR="00270360" w:rsidRDefault="00270360" w:rsidP="00E76414">
      <w:pPr>
        <w:pStyle w:val="a3"/>
      </w:pPr>
    </w:p>
    <w:p w14:paraId="08A986ED" w14:textId="77777777" w:rsidR="00270360" w:rsidRDefault="00270360" w:rsidP="00E76414">
      <w:pPr>
        <w:pStyle w:val="a3"/>
      </w:pPr>
    </w:p>
    <w:p w14:paraId="476377E3" w14:textId="77777777" w:rsidR="00270360" w:rsidRDefault="00270360" w:rsidP="00E76414">
      <w:pPr>
        <w:pStyle w:val="a3"/>
      </w:pPr>
    </w:p>
    <w:p w14:paraId="5AF3D25C" w14:textId="77777777" w:rsidR="00270360" w:rsidRDefault="00270360" w:rsidP="00E76414">
      <w:pPr>
        <w:pStyle w:val="a3"/>
      </w:pPr>
    </w:p>
    <w:p w14:paraId="32E91C5C" w14:textId="5941C7E9" w:rsidR="000546D5" w:rsidRPr="004E7B57" w:rsidRDefault="00856EDC" w:rsidP="00E76414">
      <w:r w:rsidRPr="00F1093A">
        <w:rPr>
          <w:b/>
          <w:bCs/>
        </w:rPr>
        <w:lastRenderedPageBreak/>
        <w:t>Β.2 Εταιρείες</w:t>
      </w:r>
      <w:r w:rsidRPr="004E7B57">
        <w:t xml:space="preserve"> (Α.Ε., Ε.Π.Ε., Ι.Κ.Ε., Ο.Ε., Ε.Ε., Αστική εταιρεία) και Ενεργειακές Κοινότητες</w:t>
      </w:r>
      <w:r w:rsidR="006B5D75" w:rsidRPr="004E7B57">
        <w:t>/Κοινότητες Ανανεώσιμης Ενέργειας/ Ενεργειακές Κοινότητ</w:t>
      </w:r>
      <w:r w:rsidR="00270360">
        <w:t>ες</w:t>
      </w:r>
      <w:r w:rsidR="006B5D75" w:rsidRPr="004E7B57">
        <w:t xml:space="preserve"> Πολιτών</w:t>
      </w:r>
    </w:p>
    <w:p w14:paraId="33F1CDC3" w14:textId="77777777" w:rsidR="000546D5" w:rsidRPr="004E7B57" w:rsidRDefault="000546D5" w:rsidP="00E76414">
      <w:pPr>
        <w:pStyle w:val="a3"/>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263"/>
        <w:gridCol w:w="1338"/>
        <w:gridCol w:w="2301"/>
      </w:tblGrid>
      <w:tr w:rsidR="00252B53" w:rsidRPr="004E7B57" w14:paraId="675401CE" w14:textId="77777777" w:rsidTr="00A75050">
        <w:trPr>
          <w:trHeight w:val="567"/>
        </w:trPr>
        <w:tc>
          <w:tcPr>
            <w:tcW w:w="848" w:type="dxa"/>
          </w:tcPr>
          <w:p w14:paraId="5E6F9199" w14:textId="5E72C221" w:rsidR="00252B53" w:rsidRPr="004E7B57" w:rsidRDefault="00252B53" w:rsidP="00F1093A">
            <w:pPr>
              <w:pStyle w:val="TableParagraph"/>
              <w:spacing w:line="240" w:lineRule="auto"/>
            </w:pPr>
            <w:r w:rsidRPr="004E7B57">
              <w:t>Α/ Α</w:t>
            </w:r>
          </w:p>
        </w:tc>
        <w:tc>
          <w:tcPr>
            <w:tcW w:w="3263" w:type="dxa"/>
          </w:tcPr>
          <w:p w14:paraId="7A155BDA" w14:textId="77777777" w:rsidR="00252B53" w:rsidRPr="004E7B57" w:rsidRDefault="00252B53" w:rsidP="00F1093A">
            <w:pPr>
              <w:pStyle w:val="TableParagraph"/>
              <w:spacing w:line="240" w:lineRule="auto"/>
            </w:pPr>
            <w:r w:rsidRPr="004E7B57">
              <w:t>Είδος</w:t>
            </w:r>
          </w:p>
        </w:tc>
        <w:tc>
          <w:tcPr>
            <w:tcW w:w="1338" w:type="dxa"/>
          </w:tcPr>
          <w:p w14:paraId="2071A605" w14:textId="2208292C" w:rsidR="00252B53" w:rsidRPr="004E7B57" w:rsidRDefault="00252B53" w:rsidP="00F1093A">
            <w:pPr>
              <w:pStyle w:val="TableParagraph"/>
              <w:spacing w:line="240" w:lineRule="auto"/>
            </w:pPr>
            <w:r w:rsidRPr="004E7B57">
              <w:t>ΝΑΙ/ΟΧΙ</w:t>
            </w:r>
          </w:p>
        </w:tc>
        <w:tc>
          <w:tcPr>
            <w:tcW w:w="2301" w:type="dxa"/>
          </w:tcPr>
          <w:p w14:paraId="2948C255" w14:textId="77777777" w:rsidR="00252B53" w:rsidRPr="004E7B57" w:rsidRDefault="00252B53" w:rsidP="00F1093A">
            <w:pPr>
              <w:pStyle w:val="TableParagraph"/>
              <w:spacing w:line="240" w:lineRule="auto"/>
            </w:pPr>
            <w:r w:rsidRPr="004E7B57">
              <w:t>Λοιπά Στοιχεία</w:t>
            </w:r>
          </w:p>
        </w:tc>
      </w:tr>
      <w:tr w:rsidR="00252B53" w:rsidRPr="004E7B57" w14:paraId="6623CBE9" w14:textId="77777777" w:rsidTr="00A75050">
        <w:trPr>
          <w:trHeight w:val="777"/>
        </w:trPr>
        <w:tc>
          <w:tcPr>
            <w:tcW w:w="848" w:type="dxa"/>
          </w:tcPr>
          <w:p w14:paraId="5FB93519" w14:textId="0D17CEDE" w:rsidR="00252B53" w:rsidRPr="004E7B57" w:rsidRDefault="00252B53" w:rsidP="00F1093A">
            <w:pPr>
              <w:pStyle w:val="TableParagraph"/>
              <w:spacing w:line="240" w:lineRule="auto"/>
            </w:pPr>
            <w:r w:rsidRPr="004E7B57">
              <w:t>Β.2.1</w:t>
            </w:r>
          </w:p>
        </w:tc>
        <w:tc>
          <w:tcPr>
            <w:tcW w:w="3263" w:type="dxa"/>
          </w:tcPr>
          <w:p w14:paraId="10088CF8" w14:textId="43C49BF3" w:rsidR="00252B53" w:rsidRPr="004E7B57" w:rsidRDefault="00252B53" w:rsidP="00A75050">
            <w:pPr>
              <w:pStyle w:val="TableParagraph"/>
              <w:spacing w:line="240" w:lineRule="auto"/>
            </w:pPr>
            <w:r w:rsidRPr="004E7B57">
              <w:t>Κωδικοποιημένο Καταστατικό δημοσιευμένο στο Γ.Ε.ΜΗ (με το σύνολο των τροποποιήσεων</w:t>
            </w:r>
            <w:r w:rsidR="00A75050">
              <w:t xml:space="preserve"> </w:t>
            </w:r>
            <w:r w:rsidRPr="004E7B57">
              <w:t>του)</w:t>
            </w:r>
          </w:p>
        </w:tc>
        <w:tc>
          <w:tcPr>
            <w:tcW w:w="1338" w:type="dxa"/>
          </w:tcPr>
          <w:p w14:paraId="3314CB7A" w14:textId="5DE4905C" w:rsidR="00252B53" w:rsidRPr="004E7B57" w:rsidRDefault="00252B53" w:rsidP="00F1093A">
            <w:pPr>
              <w:pStyle w:val="TableParagraph"/>
              <w:spacing w:line="240" w:lineRule="auto"/>
            </w:pPr>
            <w:r w:rsidRPr="004E7B57">
              <w:t>ΝΑΙ/ΟΧΙ</w:t>
            </w:r>
          </w:p>
        </w:tc>
        <w:tc>
          <w:tcPr>
            <w:tcW w:w="2301" w:type="dxa"/>
          </w:tcPr>
          <w:p w14:paraId="7FC5E65F" w14:textId="77777777" w:rsidR="00252B53" w:rsidRPr="004E7B57" w:rsidRDefault="00252B53" w:rsidP="00F1093A">
            <w:pPr>
              <w:pStyle w:val="TableParagraph"/>
              <w:spacing w:line="240" w:lineRule="auto"/>
            </w:pPr>
          </w:p>
        </w:tc>
      </w:tr>
      <w:tr w:rsidR="00252B53" w:rsidRPr="004E7B57" w14:paraId="3DE77DE7" w14:textId="77777777" w:rsidTr="00A75050">
        <w:trPr>
          <w:trHeight w:val="1362"/>
        </w:trPr>
        <w:tc>
          <w:tcPr>
            <w:tcW w:w="848" w:type="dxa"/>
          </w:tcPr>
          <w:p w14:paraId="2A8A4FAE" w14:textId="74055EEE" w:rsidR="00252B53" w:rsidRPr="004E7B57" w:rsidRDefault="00252B53" w:rsidP="00F1093A">
            <w:pPr>
              <w:pStyle w:val="TableParagraph"/>
              <w:spacing w:line="240" w:lineRule="auto"/>
            </w:pPr>
            <w:r w:rsidRPr="004E7B57">
              <w:t>Β.2.2</w:t>
            </w:r>
          </w:p>
        </w:tc>
        <w:tc>
          <w:tcPr>
            <w:tcW w:w="3263" w:type="dxa"/>
          </w:tcPr>
          <w:p w14:paraId="58CBC97E" w14:textId="489EAD75" w:rsidR="00252B53" w:rsidRPr="004E7B57" w:rsidRDefault="00252B53" w:rsidP="00A75050">
            <w:pPr>
              <w:pStyle w:val="TableParagraph"/>
              <w:spacing w:line="240" w:lineRule="auto"/>
            </w:pPr>
            <w:r w:rsidRPr="004E7B57">
              <w:t>Γενικό Πιστοποιητικό Γ.Ε.ΜΗ (εταιρικών μεταβολών, περί μη λύσης, πτώχευσης, θέση σε εκκαθάριση,</w:t>
            </w:r>
            <w:r w:rsidR="00A75050">
              <w:t xml:space="preserve"> </w:t>
            </w:r>
            <w:r w:rsidRPr="004E7B57">
              <w:t>αναγκαστική διαχείριση,</w:t>
            </w:r>
            <w:r w:rsidR="00A75050">
              <w:t xml:space="preserve"> </w:t>
            </w:r>
            <w:r w:rsidRPr="004E7B57">
              <w:t>διαδικασία συνδιαλλαγής / εξυγίανσης κ.λπ.)</w:t>
            </w:r>
          </w:p>
        </w:tc>
        <w:tc>
          <w:tcPr>
            <w:tcW w:w="1338" w:type="dxa"/>
          </w:tcPr>
          <w:p w14:paraId="1CFDD659" w14:textId="2482F74F" w:rsidR="00252B53" w:rsidRPr="004E7B57" w:rsidRDefault="00252B53" w:rsidP="00F1093A">
            <w:pPr>
              <w:pStyle w:val="TableParagraph"/>
              <w:spacing w:line="240" w:lineRule="auto"/>
            </w:pPr>
            <w:r w:rsidRPr="004E7B57">
              <w:t>ΝΑΙ/ΟΧΙ</w:t>
            </w:r>
          </w:p>
        </w:tc>
        <w:tc>
          <w:tcPr>
            <w:tcW w:w="2301" w:type="dxa"/>
          </w:tcPr>
          <w:p w14:paraId="259E1DBC" w14:textId="77777777" w:rsidR="00252B53" w:rsidRPr="004E7B57" w:rsidRDefault="00252B53" w:rsidP="00F1093A">
            <w:pPr>
              <w:pStyle w:val="TableParagraph"/>
              <w:spacing w:line="240" w:lineRule="auto"/>
            </w:pPr>
          </w:p>
        </w:tc>
      </w:tr>
      <w:tr w:rsidR="00252B53" w:rsidRPr="004E7B57" w14:paraId="74880B93" w14:textId="77777777" w:rsidTr="00A75050">
        <w:trPr>
          <w:trHeight w:val="586"/>
        </w:trPr>
        <w:tc>
          <w:tcPr>
            <w:tcW w:w="848" w:type="dxa"/>
          </w:tcPr>
          <w:p w14:paraId="4C2AA380" w14:textId="1FC21752" w:rsidR="00252B53" w:rsidRPr="004E7B57" w:rsidRDefault="00252B53" w:rsidP="00F1093A">
            <w:pPr>
              <w:pStyle w:val="TableParagraph"/>
              <w:spacing w:line="240" w:lineRule="auto"/>
            </w:pPr>
            <w:r w:rsidRPr="004E7B57">
              <w:t>Β.2.3</w:t>
            </w:r>
          </w:p>
        </w:tc>
        <w:tc>
          <w:tcPr>
            <w:tcW w:w="3263" w:type="dxa"/>
          </w:tcPr>
          <w:p w14:paraId="490979D1" w14:textId="3637C28C" w:rsidR="00252B53" w:rsidRPr="004E7B57" w:rsidRDefault="00252B53" w:rsidP="00A75050">
            <w:pPr>
              <w:pStyle w:val="TableParagraph"/>
              <w:spacing w:line="240" w:lineRule="auto"/>
            </w:pPr>
            <w:r w:rsidRPr="004E7B57">
              <w:t>Αναλυτικό Πιστοποιητικό</w:t>
            </w:r>
            <w:r w:rsidR="00A75050">
              <w:t xml:space="preserve"> </w:t>
            </w:r>
            <w:r w:rsidRPr="004E7B57">
              <w:t>Γ.Ε.ΜΗ. τρέχουσας εκπροσώπησης</w:t>
            </w:r>
          </w:p>
        </w:tc>
        <w:tc>
          <w:tcPr>
            <w:tcW w:w="1338" w:type="dxa"/>
          </w:tcPr>
          <w:p w14:paraId="0B931F58" w14:textId="4F565C07" w:rsidR="00252B53" w:rsidRPr="004E7B57" w:rsidRDefault="00252B53" w:rsidP="00F1093A">
            <w:pPr>
              <w:pStyle w:val="TableParagraph"/>
              <w:spacing w:line="240" w:lineRule="auto"/>
            </w:pPr>
            <w:r w:rsidRPr="004E7B57">
              <w:t>ΝΑΙ/ΟΧΙ</w:t>
            </w:r>
          </w:p>
        </w:tc>
        <w:tc>
          <w:tcPr>
            <w:tcW w:w="2301" w:type="dxa"/>
          </w:tcPr>
          <w:p w14:paraId="228C1ED8" w14:textId="77777777" w:rsidR="00252B53" w:rsidRPr="004E7B57" w:rsidRDefault="00252B53" w:rsidP="00F1093A">
            <w:pPr>
              <w:pStyle w:val="TableParagraph"/>
              <w:spacing w:line="240" w:lineRule="auto"/>
            </w:pPr>
          </w:p>
        </w:tc>
      </w:tr>
      <w:tr w:rsidR="00252B53" w:rsidRPr="004E7B57" w14:paraId="5014E69C" w14:textId="77777777" w:rsidTr="00A75050">
        <w:trPr>
          <w:trHeight w:val="389"/>
        </w:trPr>
        <w:tc>
          <w:tcPr>
            <w:tcW w:w="848" w:type="dxa"/>
          </w:tcPr>
          <w:p w14:paraId="644362DA" w14:textId="65FA0F54" w:rsidR="00252B53" w:rsidRPr="004E7B57" w:rsidRDefault="00252B53" w:rsidP="00F1093A">
            <w:pPr>
              <w:pStyle w:val="TableParagraph"/>
              <w:spacing w:line="240" w:lineRule="auto"/>
            </w:pPr>
            <w:r w:rsidRPr="004E7B57">
              <w:t>Β.2.</w:t>
            </w:r>
            <w:r>
              <w:t>4</w:t>
            </w:r>
          </w:p>
        </w:tc>
        <w:tc>
          <w:tcPr>
            <w:tcW w:w="3263" w:type="dxa"/>
          </w:tcPr>
          <w:p w14:paraId="4724F89B" w14:textId="71C64A6B" w:rsidR="00252B53" w:rsidRPr="004E7B57" w:rsidRDefault="00252B53" w:rsidP="00A75050">
            <w:pPr>
              <w:pStyle w:val="TableParagraph"/>
              <w:spacing w:line="240" w:lineRule="auto"/>
            </w:pPr>
            <w:r w:rsidRPr="004E7B57">
              <w:t>Πιστοποιητικό φορολογικής</w:t>
            </w:r>
            <w:r w:rsidR="00A75050">
              <w:t xml:space="preserve"> </w:t>
            </w:r>
            <w:r w:rsidRPr="004E7B57">
              <w:t>Ενημερότητας</w:t>
            </w:r>
          </w:p>
        </w:tc>
        <w:tc>
          <w:tcPr>
            <w:tcW w:w="1338" w:type="dxa"/>
          </w:tcPr>
          <w:p w14:paraId="70623177" w14:textId="311A3EDC" w:rsidR="00252B53" w:rsidRPr="004E7B57" w:rsidRDefault="00252B53" w:rsidP="00F1093A">
            <w:pPr>
              <w:pStyle w:val="TableParagraph"/>
              <w:spacing w:line="240" w:lineRule="auto"/>
            </w:pPr>
            <w:r w:rsidRPr="004E7B57">
              <w:t>ΝΑΙ/ΟΧΙ</w:t>
            </w:r>
          </w:p>
        </w:tc>
        <w:tc>
          <w:tcPr>
            <w:tcW w:w="2301" w:type="dxa"/>
          </w:tcPr>
          <w:p w14:paraId="5162A305" w14:textId="77777777" w:rsidR="00252B53" w:rsidRPr="004E7B57" w:rsidRDefault="00252B53" w:rsidP="00F1093A">
            <w:pPr>
              <w:pStyle w:val="TableParagraph"/>
              <w:spacing w:line="240" w:lineRule="auto"/>
            </w:pPr>
          </w:p>
        </w:tc>
      </w:tr>
      <w:tr w:rsidR="00252B53" w:rsidRPr="004E7B57" w14:paraId="16DC7D14" w14:textId="77777777" w:rsidTr="00A75050">
        <w:trPr>
          <w:trHeight w:val="388"/>
        </w:trPr>
        <w:tc>
          <w:tcPr>
            <w:tcW w:w="848" w:type="dxa"/>
          </w:tcPr>
          <w:p w14:paraId="4CDFDFD0" w14:textId="79BC8674" w:rsidR="00252B53" w:rsidRPr="004E7B57" w:rsidRDefault="00252B53" w:rsidP="00F1093A">
            <w:pPr>
              <w:pStyle w:val="TableParagraph"/>
              <w:spacing w:line="240" w:lineRule="auto"/>
            </w:pPr>
            <w:r w:rsidRPr="004E7B57">
              <w:t>Β.2.</w:t>
            </w:r>
            <w:r>
              <w:t>5</w:t>
            </w:r>
          </w:p>
        </w:tc>
        <w:tc>
          <w:tcPr>
            <w:tcW w:w="3263" w:type="dxa"/>
          </w:tcPr>
          <w:p w14:paraId="08D956BB" w14:textId="77777777" w:rsidR="00252B53" w:rsidRPr="004E7B57" w:rsidRDefault="00252B53" w:rsidP="00F1093A">
            <w:pPr>
              <w:pStyle w:val="TableParagraph"/>
              <w:spacing w:line="240" w:lineRule="auto"/>
            </w:pPr>
            <w:r w:rsidRPr="004E7B57">
              <w:t>Πιστοποιητικό ασφαλιστικής ενημερότητας</w:t>
            </w:r>
          </w:p>
        </w:tc>
        <w:tc>
          <w:tcPr>
            <w:tcW w:w="1338" w:type="dxa"/>
          </w:tcPr>
          <w:p w14:paraId="14E0ED39" w14:textId="56EA4B52" w:rsidR="00252B53" w:rsidRPr="004E7B57" w:rsidRDefault="00252B53" w:rsidP="00F1093A">
            <w:pPr>
              <w:pStyle w:val="TableParagraph"/>
              <w:spacing w:line="240" w:lineRule="auto"/>
            </w:pPr>
            <w:r w:rsidRPr="004E7B57">
              <w:t>ΝΑΙ/ΟΧΙ</w:t>
            </w:r>
          </w:p>
        </w:tc>
        <w:tc>
          <w:tcPr>
            <w:tcW w:w="2301" w:type="dxa"/>
          </w:tcPr>
          <w:p w14:paraId="600E122F" w14:textId="77777777" w:rsidR="00252B53" w:rsidRPr="004E7B57" w:rsidRDefault="00252B53" w:rsidP="00F1093A">
            <w:pPr>
              <w:pStyle w:val="TableParagraph"/>
              <w:spacing w:line="240" w:lineRule="auto"/>
            </w:pPr>
          </w:p>
        </w:tc>
      </w:tr>
    </w:tbl>
    <w:p w14:paraId="23B7203D" w14:textId="77777777" w:rsidR="000546D5" w:rsidRPr="004E7B57" w:rsidRDefault="000546D5" w:rsidP="00E76414">
      <w:pPr>
        <w:pStyle w:val="a3"/>
      </w:pPr>
    </w:p>
    <w:p w14:paraId="51576C7E" w14:textId="77777777" w:rsidR="000546D5" w:rsidRPr="004E7B57" w:rsidRDefault="00856EDC" w:rsidP="00E76414">
      <w:r w:rsidRPr="00A75050">
        <w:rPr>
          <w:b/>
          <w:bCs/>
        </w:rPr>
        <w:t>Β.3 Λοιπά Νομικά πρόσωπα</w:t>
      </w:r>
      <w:r w:rsidRPr="004E7B57">
        <w:t xml:space="preserve"> (ΝΠΔΔ, ΝΠΙΔ, Σωματεία κ.λπ.)</w:t>
      </w:r>
    </w:p>
    <w:p w14:paraId="21EA027B" w14:textId="77777777" w:rsidR="000546D5" w:rsidRPr="004E7B57" w:rsidRDefault="000546D5" w:rsidP="00E76414">
      <w:pPr>
        <w:pStyle w:val="a3"/>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977"/>
        <w:gridCol w:w="1134"/>
        <w:gridCol w:w="1751"/>
      </w:tblGrid>
      <w:tr w:rsidR="00252B53" w:rsidRPr="004E7B57" w14:paraId="16EFF65F" w14:textId="77777777" w:rsidTr="00A75050">
        <w:trPr>
          <w:trHeight w:val="520"/>
        </w:trPr>
        <w:tc>
          <w:tcPr>
            <w:tcW w:w="843" w:type="dxa"/>
          </w:tcPr>
          <w:p w14:paraId="296DE0F5" w14:textId="77777777" w:rsidR="00252B53" w:rsidRPr="004E7B57" w:rsidRDefault="00252B53" w:rsidP="00F1093A">
            <w:pPr>
              <w:pStyle w:val="TableParagraph"/>
              <w:spacing w:line="240" w:lineRule="auto"/>
            </w:pPr>
            <w:r w:rsidRPr="004E7B57">
              <w:t>Α/Α</w:t>
            </w:r>
          </w:p>
        </w:tc>
        <w:tc>
          <w:tcPr>
            <w:tcW w:w="3977" w:type="dxa"/>
          </w:tcPr>
          <w:p w14:paraId="19D22712" w14:textId="77777777" w:rsidR="00252B53" w:rsidRPr="004E7B57" w:rsidRDefault="00252B53" w:rsidP="00F1093A">
            <w:pPr>
              <w:pStyle w:val="TableParagraph"/>
              <w:spacing w:line="240" w:lineRule="auto"/>
            </w:pPr>
            <w:r w:rsidRPr="004E7B57">
              <w:t>Είδος</w:t>
            </w:r>
          </w:p>
        </w:tc>
        <w:tc>
          <w:tcPr>
            <w:tcW w:w="1134" w:type="dxa"/>
          </w:tcPr>
          <w:p w14:paraId="2E319D74" w14:textId="0DAED788" w:rsidR="00252B53" w:rsidRPr="004E7B57" w:rsidRDefault="00252B53" w:rsidP="00F1093A">
            <w:pPr>
              <w:pStyle w:val="TableParagraph"/>
              <w:spacing w:line="240" w:lineRule="auto"/>
            </w:pPr>
            <w:r w:rsidRPr="004E7B57">
              <w:t>ΝΑΙ/ΟΧΙ</w:t>
            </w:r>
          </w:p>
        </w:tc>
        <w:tc>
          <w:tcPr>
            <w:tcW w:w="1751" w:type="dxa"/>
          </w:tcPr>
          <w:p w14:paraId="50383256" w14:textId="77777777" w:rsidR="00252B53" w:rsidRPr="004E7B57" w:rsidRDefault="00252B53" w:rsidP="00F1093A">
            <w:pPr>
              <w:pStyle w:val="TableParagraph"/>
              <w:spacing w:line="240" w:lineRule="auto"/>
            </w:pPr>
            <w:r w:rsidRPr="004E7B57">
              <w:t>Λοιπά Στοιχεία</w:t>
            </w:r>
          </w:p>
        </w:tc>
      </w:tr>
      <w:tr w:rsidR="00252B53" w:rsidRPr="004E7B57" w14:paraId="71C7CE92" w14:textId="77777777" w:rsidTr="00B265C7">
        <w:trPr>
          <w:trHeight w:val="1162"/>
        </w:trPr>
        <w:tc>
          <w:tcPr>
            <w:tcW w:w="843" w:type="dxa"/>
          </w:tcPr>
          <w:p w14:paraId="0ECB47EC" w14:textId="77777777" w:rsidR="00252B53" w:rsidRPr="004E7B57" w:rsidRDefault="00252B53" w:rsidP="00F1093A">
            <w:pPr>
              <w:pStyle w:val="TableParagraph"/>
              <w:spacing w:line="240" w:lineRule="auto"/>
            </w:pPr>
            <w:r w:rsidRPr="004E7B57">
              <w:t>Β.3.1</w:t>
            </w:r>
          </w:p>
        </w:tc>
        <w:tc>
          <w:tcPr>
            <w:tcW w:w="3977" w:type="dxa"/>
          </w:tcPr>
          <w:p w14:paraId="3373C8CF" w14:textId="4AFDFC5D" w:rsidR="00252B53" w:rsidRPr="004E7B57" w:rsidRDefault="00252B53" w:rsidP="00A75050">
            <w:pPr>
              <w:pStyle w:val="TableParagraph"/>
              <w:spacing w:line="240" w:lineRule="auto"/>
            </w:pPr>
            <w:r w:rsidRPr="004E7B57">
              <w:t>Ιδρυτική</w:t>
            </w:r>
            <w:r w:rsidRPr="004E7B57">
              <w:tab/>
              <w:t>Πράξη</w:t>
            </w:r>
            <w:r w:rsidRPr="004E7B57">
              <w:tab/>
              <w:t>(Νόμοι, Π.Δ.,</w:t>
            </w:r>
            <w:r>
              <w:t xml:space="preserve"> </w:t>
            </w:r>
            <w:r w:rsidRPr="004E7B57">
              <w:t>Αποφάσεις)</w:t>
            </w:r>
            <w:r w:rsidR="00A75050">
              <w:t xml:space="preserve"> </w:t>
            </w:r>
            <w:r w:rsidRPr="004E7B57">
              <w:t>/Κωδικοποιημένο Καταστατικό (με το σύνολο των</w:t>
            </w:r>
            <w:r w:rsidR="00B265C7">
              <w:t xml:space="preserve"> </w:t>
            </w:r>
            <w:r w:rsidRPr="004E7B57">
              <w:t>τροποποιήσεων του)</w:t>
            </w:r>
          </w:p>
        </w:tc>
        <w:tc>
          <w:tcPr>
            <w:tcW w:w="1134" w:type="dxa"/>
          </w:tcPr>
          <w:p w14:paraId="7BEB6970" w14:textId="584B2C78" w:rsidR="00252B53" w:rsidRPr="004E7B57" w:rsidRDefault="00252B53" w:rsidP="00F1093A">
            <w:pPr>
              <w:pStyle w:val="TableParagraph"/>
              <w:spacing w:line="240" w:lineRule="auto"/>
            </w:pPr>
            <w:r w:rsidRPr="004E7B57">
              <w:t>ΝΑΙ/ΟΧΙ</w:t>
            </w:r>
          </w:p>
        </w:tc>
        <w:tc>
          <w:tcPr>
            <w:tcW w:w="1751" w:type="dxa"/>
          </w:tcPr>
          <w:p w14:paraId="504492FD" w14:textId="77777777" w:rsidR="00252B53" w:rsidRPr="004E7B57" w:rsidRDefault="00252B53" w:rsidP="00F1093A">
            <w:pPr>
              <w:pStyle w:val="TableParagraph"/>
              <w:spacing w:line="240" w:lineRule="auto"/>
            </w:pPr>
          </w:p>
        </w:tc>
      </w:tr>
      <w:tr w:rsidR="00252B53" w:rsidRPr="004E7B57" w14:paraId="611FCA1A" w14:textId="77777777" w:rsidTr="00B265C7">
        <w:trPr>
          <w:trHeight w:val="799"/>
        </w:trPr>
        <w:tc>
          <w:tcPr>
            <w:tcW w:w="843" w:type="dxa"/>
          </w:tcPr>
          <w:p w14:paraId="194CAF00" w14:textId="77777777" w:rsidR="00252B53" w:rsidRPr="004E7B57" w:rsidRDefault="00252B53" w:rsidP="00F1093A">
            <w:pPr>
              <w:pStyle w:val="TableParagraph"/>
              <w:spacing w:line="240" w:lineRule="auto"/>
            </w:pPr>
            <w:r w:rsidRPr="004E7B57">
              <w:t>Β.3.2</w:t>
            </w:r>
          </w:p>
        </w:tc>
        <w:tc>
          <w:tcPr>
            <w:tcW w:w="3977" w:type="dxa"/>
          </w:tcPr>
          <w:p w14:paraId="376B3366" w14:textId="54371076" w:rsidR="00252B53" w:rsidRPr="004E7B57" w:rsidRDefault="00252B53" w:rsidP="00F1093A">
            <w:pPr>
              <w:pStyle w:val="TableParagraph"/>
              <w:spacing w:line="240" w:lineRule="auto"/>
            </w:pPr>
            <w:r w:rsidRPr="004E7B57">
              <w:t>Απόφαση εκλογής / συγκρότησης οργάνου Διοίκησης - εκπροσώπησης κ.λπ.</w:t>
            </w:r>
          </w:p>
        </w:tc>
        <w:tc>
          <w:tcPr>
            <w:tcW w:w="1134" w:type="dxa"/>
          </w:tcPr>
          <w:p w14:paraId="269F9FEE" w14:textId="518AE39F" w:rsidR="00252B53" w:rsidRPr="004E7B57" w:rsidRDefault="00252B53" w:rsidP="00F1093A">
            <w:pPr>
              <w:pStyle w:val="TableParagraph"/>
              <w:spacing w:line="240" w:lineRule="auto"/>
            </w:pPr>
            <w:r w:rsidRPr="004E7B57">
              <w:t>ΝΑΙ/ΟΧΙ</w:t>
            </w:r>
          </w:p>
        </w:tc>
        <w:tc>
          <w:tcPr>
            <w:tcW w:w="1751" w:type="dxa"/>
          </w:tcPr>
          <w:p w14:paraId="79E4FF37" w14:textId="77777777" w:rsidR="00252B53" w:rsidRPr="004E7B57" w:rsidRDefault="00252B53" w:rsidP="00F1093A">
            <w:pPr>
              <w:pStyle w:val="TableParagraph"/>
              <w:spacing w:line="240" w:lineRule="auto"/>
            </w:pPr>
          </w:p>
        </w:tc>
      </w:tr>
      <w:tr w:rsidR="00252B53" w:rsidRPr="004E7B57" w14:paraId="540495BC" w14:textId="77777777" w:rsidTr="00B265C7">
        <w:trPr>
          <w:trHeight w:val="560"/>
        </w:trPr>
        <w:tc>
          <w:tcPr>
            <w:tcW w:w="843" w:type="dxa"/>
          </w:tcPr>
          <w:p w14:paraId="1E1796D4" w14:textId="4A39EF80" w:rsidR="00252B53" w:rsidRPr="004E7B57" w:rsidRDefault="00252B53" w:rsidP="00F1093A">
            <w:pPr>
              <w:pStyle w:val="TableParagraph"/>
              <w:spacing w:line="240" w:lineRule="auto"/>
            </w:pPr>
            <w:r w:rsidRPr="004E7B57">
              <w:t>Β.3.</w:t>
            </w:r>
            <w:r>
              <w:t>3</w:t>
            </w:r>
          </w:p>
        </w:tc>
        <w:tc>
          <w:tcPr>
            <w:tcW w:w="3977" w:type="dxa"/>
          </w:tcPr>
          <w:p w14:paraId="0A53FAB0" w14:textId="77777777" w:rsidR="00252B53" w:rsidRPr="004E7B57" w:rsidRDefault="00252B53" w:rsidP="00F1093A">
            <w:pPr>
              <w:pStyle w:val="TableParagraph"/>
              <w:spacing w:line="240" w:lineRule="auto"/>
            </w:pPr>
            <w:r w:rsidRPr="004E7B57">
              <w:t>Πιστοποιητικό φορολογικής</w:t>
            </w:r>
          </w:p>
          <w:p w14:paraId="52C4E88F" w14:textId="744EACA5" w:rsidR="00252B53" w:rsidRPr="004E7B57" w:rsidRDefault="00252B53" w:rsidP="00F1093A">
            <w:pPr>
              <w:pStyle w:val="TableParagraph"/>
              <w:spacing w:line="240" w:lineRule="auto"/>
            </w:pPr>
            <w:r w:rsidRPr="004E7B57">
              <w:t>Ενημερότητας</w:t>
            </w:r>
          </w:p>
        </w:tc>
        <w:tc>
          <w:tcPr>
            <w:tcW w:w="1134" w:type="dxa"/>
          </w:tcPr>
          <w:p w14:paraId="671A9FBF" w14:textId="55BE3C03" w:rsidR="00252B53" w:rsidRPr="004E7B57" w:rsidRDefault="00252B53" w:rsidP="00F1093A">
            <w:pPr>
              <w:pStyle w:val="TableParagraph"/>
              <w:spacing w:line="240" w:lineRule="auto"/>
            </w:pPr>
            <w:r w:rsidRPr="004E7B57">
              <w:t>ΝΑΙ/ΟΧΙ</w:t>
            </w:r>
          </w:p>
        </w:tc>
        <w:tc>
          <w:tcPr>
            <w:tcW w:w="1751" w:type="dxa"/>
          </w:tcPr>
          <w:p w14:paraId="6023AF2F" w14:textId="77777777" w:rsidR="00252B53" w:rsidRPr="004E7B57" w:rsidRDefault="00252B53" w:rsidP="00F1093A">
            <w:pPr>
              <w:pStyle w:val="TableParagraph"/>
              <w:spacing w:line="240" w:lineRule="auto"/>
            </w:pPr>
          </w:p>
        </w:tc>
      </w:tr>
      <w:tr w:rsidR="00252B53" w:rsidRPr="004E7B57" w14:paraId="40AE10FF" w14:textId="77777777" w:rsidTr="00B265C7">
        <w:trPr>
          <w:trHeight w:val="561"/>
        </w:trPr>
        <w:tc>
          <w:tcPr>
            <w:tcW w:w="843" w:type="dxa"/>
          </w:tcPr>
          <w:p w14:paraId="4EF12A35" w14:textId="4FEA6E5C" w:rsidR="00252B53" w:rsidRPr="004E7B57" w:rsidRDefault="00252B53" w:rsidP="00F1093A">
            <w:pPr>
              <w:pStyle w:val="TableParagraph"/>
              <w:spacing w:line="240" w:lineRule="auto"/>
            </w:pPr>
            <w:r w:rsidRPr="004E7B57">
              <w:t>Β.3.</w:t>
            </w:r>
            <w:r>
              <w:t>4</w:t>
            </w:r>
          </w:p>
        </w:tc>
        <w:tc>
          <w:tcPr>
            <w:tcW w:w="3977" w:type="dxa"/>
          </w:tcPr>
          <w:p w14:paraId="667513DF" w14:textId="77777777" w:rsidR="00252B53" w:rsidRPr="004E7B57" w:rsidRDefault="00252B53" w:rsidP="00F1093A">
            <w:pPr>
              <w:pStyle w:val="TableParagraph"/>
              <w:spacing w:line="240" w:lineRule="auto"/>
            </w:pPr>
            <w:r w:rsidRPr="004E7B57">
              <w:t>Πιστοποιητικό ασφαλιστικής ενημερότητας</w:t>
            </w:r>
          </w:p>
        </w:tc>
        <w:tc>
          <w:tcPr>
            <w:tcW w:w="1134" w:type="dxa"/>
          </w:tcPr>
          <w:p w14:paraId="34882F99" w14:textId="7E1120F1" w:rsidR="00252B53" w:rsidRPr="004E7B57" w:rsidRDefault="00252B53" w:rsidP="00F1093A">
            <w:pPr>
              <w:pStyle w:val="TableParagraph"/>
              <w:spacing w:line="240" w:lineRule="auto"/>
            </w:pPr>
            <w:r w:rsidRPr="004E7B57">
              <w:t>ΝΑΙ/ΟΧΙ</w:t>
            </w:r>
          </w:p>
        </w:tc>
        <w:tc>
          <w:tcPr>
            <w:tcW w:w="1751" w:type="dxa"/>
          </w:tcPr>
          <w:p w14:paraId="20859B93" w14:textId="77777777" w:rsidR="00252B53" w:rsidRPr="004E7B57" w:rsidRDefault="00252B53" w:rsidP="00F1093A">
            <w:pPr>
              <w:pStyle w:val="TableParagraph"/>
              <w:spacing w:line="240" w:lineRule="auto"/>
            </w:pPr>
          </w:p>
        </w:tc>
      </w:tr>
    </w:tbl>
    <w:p w14:paraId="70CEE21F" w14:textId="77777777" w:rsidR="000546D5" w:rsidRPr="004E7B57" w:rsidRDefault="000546D5" w:rsidP="00E76414">
      <w:pPr>
        <w:pStyle w:val="a3"/>
      </w:pPr>
    </w:p>
    <w:p w14:paraId="2EB3D272" w14:textId="77777777" w:rsidR="000546D5" w:rsidRPr="004E7B57" w:rsidRDefault="00856EDC" w:rsidP="00E76414">
      <w:r w:rsidRPr="004E7B57">
        <w:t>ΒΕΒΑΙΩΣΗ ΓΝΗΣΙΟΥ ΥΠΟΓΡΑΦΗΣ</w:t>
      </w:r>
      <w:r w:rsidRPr="004E7B57">
        <w:tab/>
        <w:t>..............,</w:t>
      </w:r>
      <w:r w:rsidRPr="004E7B57">
        <w:tab/>
        <w:t>20… (</w:t>
      </w:r>
      <w:r w:rsidRPr="004E7B57">
        <w:rPr>
          <w:i/>
        </w:rPr>
        <w:t>τόπος/ ημερομηνία</w:t>
      </w:r>
      <w:r w:rsidRPr="004E7B57">
        <w:t>)</w:t>
      </w:r>
    </w:p>
    <w:p w14:paraId="439D2A91" w14:textId="77777777" w:rsidR="000546D5" w:rsidRPr="004E7B57" w:rsidRDefault="000546D5" w:rsidP="00E76414">
      <w:pPr>
        <w:pStyle w:val="a3"/>
      </w:pPr>
    </w:p>
    <w:p w14:paraId="7F76DDA1" w14:textId="77777777" w:rsidR="000546D5" w:rsidRPr="004E7B57" w:rsidRDefault="00856EDC" w:rsidP="00E76414">
      <w:r w:rsidRPr="004E7B57">
        <w:t>Ο Συμμετέχων/Νόμιμος Εκπρόσωπος του Συμμετέχοντος νομικού προσώπου - Δηλών</w:t>
      </w:r>
    </w:p>
    <w:p w14:paraId="331FBA34" w14:textId="77777777" w:rsidR="000546D5" w:rsidRPr="004E7B57" w:rsidRDefault="000546D5" w:rsidP="00E76414">
      <w:pPr>
        <w:pStyle w:val="a3"/>
      </w:pPr>
    </w:p>
    <w:p w14:paraId="571EE268" w14:textId="52C0B42A" w:rsidR="000546D5" w:rsidRPr="004E7B57" w:rsidRDefault="003D48DE" w:rsidP="00E76414">
      <w:pPr>
        <w:pStyle w:val="a3"/>
      </w:pPr>
      <w:r w:rsidRPr="004E7B57">
        <w:rPr>
          <w:noProof/>
        </w:rPr>
        <mc:AlternateContent>
          <mc:Choice Requires="wps">
            <w:drawing>
              <wp:anchor distT="0" distB="0" distL="0" distR="0" simplePos="0" relativeHeight="487611392" behindDoc="1" locked="0" layoutInCell="1" allowOverlap="1" wp14:anchorId="0150B2AB" wp14:editId="7D5F7963">
                <wp:simplePos x="0" y="0"/>
                <wp:positionH relativeFrom="page">
                  <wp:posOffset>5050790</wp:posOffset>
                </wp:positionH>
                <wp:positionV relativeFrom="paragraph">
                  <wp:posOffset>105410</wp:posOffset>
                </wp:positionV>
                <wp:extent cx="1731645" cy="1270"/>
                <wp:effectExtent l="0" t="0" r="0" b="0"/>
                <wp:wrapTopAndBottom/>
                <wp:docPr id="7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1645" cy="1270"/>
                        </a:xfrm>
                        <a:custGeom>
                          <a:avLst/>
                          <a:gdLst>
                            <a:gd name="T0" fmla="+- 0 7954 7954"/>
                            <a:gd name="T1" fmla="*/ T0 w 2727"/>
                            <a:gd name="T2" fmla="+- 0 10680 7954"/>
                            <a:gd name="T3" fmla="*/ T2 w 2727"/>
                          </a:gdLst>
                          <a:ahLst/>
                          <a:cxnLst>
                            <a:cxn ang="0">
                              <a:pos x="T1" y="0"/>
                            </a:cxn>
                            <a:cxn ang="0">
                              <a:pos x="T3" y="0"/>
                            </a:cxn>
                          </a:cxnLst>
                          <a:rect l="0" t="0" r="r" b="b"/>
                          <a:pathLst>
                            <a:path w="2727">
                              <a:moveTo>
                                <a:pt x="0" y="0"/>
                              </a:moveTo>
                              <a:lnTo>
                                <a:pt x="2726"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19E517" id="Freeform 22" o:spid="_x0000_s1026" style="position:absolute;margin-left:397.7pt;margin-top:8.3pt;width:136.3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" path="m,l2726,e" filled="f" strokeweight=".36pt">
                <v:path arrowok="t" o:connecttype="custom" o:connectlocs="0,0;1731010,0" o:connectangles="0,0"/>
                <w10:wrap type="topAndBottom" anchorx="page"/>
              </v:shape>
            </w:pict>
          </mc:Fallback>
        </mc:AlternateContent>
      </w:r>
    </w:p>
    <w:p w14:paraId="56E0A185" w14:textId="4C13705D" w:rsidR="009A09BD" w:rsidRPr="004E7B57" w:rsidRDefault="00C34FA4" w:rsidP="00E76414">
      <w:r>
        <w:tab/>
      </w:r>
      <w:r>
        <w:tab/>
      </w:r>
      <w:r>
        <w:tab/>
      </w:r>
      <w:r>
        <w:tab/>
      </w:r>
      <w:r>
        <w:tab/>
      </w:r>
      <w:r>
        <w:tab/>
      </w:r>
      <w:r>
        <w:tab/>
      </w:r>
      <w:r>
        <w:tab/>
      </w:r>
      <w:r>
        <w:tab/>
      </w:r>
      <w:r w:rsidR="00856EDC" w:rsidRPr="004E7B57">
        <w:t>Ονοματεπώνυμο /Υπογραφή / Σφραγίδα</w:t>
      </w:r>
    </w:p>
    <w:p w14:paraId="77851F86" w14:textId="77777777" w:rsidR="009A09BD" w:rsidRPr="004E7B57" w:rsidRDefault="009A09BD" w:rsidP="00E76414">
      <w:r w:rsidRPr="004E7B57">
        <w:br w:type="page"/>
      </w:r>
    </w:p>
    <w:p w14:paraId="0419F0D7" w14:textId="77777777" w:rsidR="000546D5" w:rsidRPr="00270360" w:rsidRDefault="00856EDC" w:rsidP="00270360">
      <w:pPr>
        <w:jc w:val="center"/>
        <w:rPr>
          <w:b/>
          <w:bCs/>
        </w:rPr>
      </w:pPr>
      <w:r w:rsidRPr="00270360">
        <w:rPr>
          <w:b/>
          <w:bCs/>
        </w:rPr>
        <w:lastRenderedPageBreak/>
        <w:t>ΠΑΡΑΡΤΗΜΑ Β1</w:t>
      </w:r>
    </w:p>
    <w:p w14:paraId="12D01836" w14:textId="535EB1A2" w:rsidR="000546D5" w:rsidRPr="00270360" w:rsidRDefault="00856EDC" w:rsidP="00270360">
      <w:pPr>
        <w:jc w:val="center"/>
        <w:rPr>
          <w:b/>
          <w:bCs/>
        </w:rPr>
      </w:pPr>
      <w:r w:rsidRPr="00270360">
        <w:rPr>
          <w:b/>
          <w:bCs/>
        </w:rPr>
        <w:t>ΤΕΧΝΙΚΑ ΣΤΟΙΧΕΙΑ</w:t>
      </w:r>
    </w:p>
    <w:p w14:paraId="7CE2A952" w14:textId="77777777" w:rsidR="000546D5" w:rsidRPr="004E7B57" w:rsidRDefault="000546D5" w:rsidP="00E76414">
      <w:pPr>
        <w:pStyle w:val="a3"/>
      </w:pPr>
    </w:p>
    <w:p w14:paraId="4B97B8BD" w14:textId="5B4B27DD" w:rsidR="00EF2D26" w:rsidRDefault="00EF2D26" w:rsidP="00E76414">
      <w:pPr>
        <w:pStyle w:val="a3"/>
      </w:pPr>
      <w:r w:rsidRPr="004E7B57">
        <w:t xml:space="preserve">Τα ζητούμενα τεχνικά χαρακτηριστικά του παρόντος Παραρτήματος είναι προσαρμοσμένα </w:t>
      </w:r>
      <w:r w:rsidR="008B3EB2" w:rsidRPr="004E7B57">
        <w:t>για</w:t>
      </w:r>
      <w:r w:rsidRPr="004E7B57">
        <w:t xml:space="preserve"> Σ.Α.Η.Ε. τεχνολογίας συσσωρευτών. Σε περίπτωση Σ.Α.Η.Ε. </w:t>
      </w:r>
      <w:r w:rsidR="008B3EB2" w:rsidRPr="004E7B57">
        <w:t xml:space="preserve">με διαφορετική τεχνολογία αποθήκευσης, </w:t>
      </w:r>
      <w:r w:rsidRPr="004E7B57">
        <w:t xml:space="preserve">συμπληρώνονται </w:t>
      </w:r>
      <w:r w:rsidR="008B3EB2" w:rsidRPr="004E7B57">
        <w:t>τα</w:t>
      </w:r>
      <w:r w:rsidRPr="004E7B57">
        <w:t xml:space="preserve"> πεδία </w:t>
      </w:r>
      <w:r w:rsidR="008B3EB2" w:rsidRPr="004E7B57">
        <w:t xml:space="preserve">που </w:t>
      </w:r>
      <w:r w:rsidRPr="004E7B57">
        <w:t xml:space="preserve">έχουν εφαρμογή </w:t>
      </w:r>
      <w:r w:rsidR="008B3EB2" w:rsidRPr="004E7B57">
        <w:t xml:space="preserve">και προστίθενται κατ’ αναλογία πεδία που ανταποκρίνονται στη χρησιμοποιούμενη τεχνολογία, </w:t>
      </w:r>
      <w:r w:rsidRPr="004E7B57">
        <w:t>κατά περίπτωση.</w:t>
      </w:r>
    </w:p>
    <w:p w14:paraId="3DED153A" w14:textId="77777777" w:rsidR="00EF2D26" w:rsidRPr="004E7B57" w:rsidRDefault="00EF2D26" w:rsidP="00E76414">
      <w:pPr>
        <w:pStyle w:val="a3"/>
      </w:pPr>
    </w:p>
    <w:tbl>
      <w:tblPr>
        <w:tblStyle w:val="af3"/>
        <w:tblW w:w="8730" w:type="dxa"/>
        <w:jc w:val="center"/>
        <w:tblLook w:val="04A0" w:firstRow="1" w:lastRow="0" w:firstColumn="1" w:lastColumn="0" w:noHBand="0" w:noVBand="1"/>
      </w:tblPr>
      <w:tblGrid>
        <w:gridCol w:w="5130"/>
        <w:gridCol w:w="3600"/>
      </w:tblGrid>
      <w:tr w:rsidR="00252B53" w:rsidRPr="00C72D5D" w14:paraId="1FFBA803" w14:textId="77777777" w:rsidTr="0065396F">
        <w:trPr>
          <w:jc w:val="center"/>
        </w:trPr>
        <w:tc>
          <w:tcPr>
            <w:tcW w:w="5130" w:type="dxa"/>
            <w:vAlign w:val="center"/>
          </w:tcPr>
          <w:p w14:paraId="14F21958" w14:textId="67540559" w:rsidR="00252B53" w:rsidRPr="00214E69" w:rsidRDefault="00252B53" w:rsidP="0065396F">
            <w:pPr>
              <w:rPr>
                <w:lang w:val="en-US"/>
              </w:rPr>
            </w:pPr>
            <w:r>
              <w:t>Ονομασία</w:t>
            </w:r>
            <w:r w:rsidRPr="000A085D">
              <w:rPr>
                <w:lang w:val="en-US"/>
              </w:rPr>
              <w:t xml:space="preserve"> </w:t>
            </w:r>
            <w:r>
              <w:t>σταθμού</w:t>
            </w:r>
            <w:r w:rsidRPr="004E7B57">
              <w:rPr>
                <w:lang w:val="en-US"/>
              </w:rPr>
              <w:t xml:space="preserve"> – </w:t>
            </w:r>
            <w:r>
              <w:t>θέση</w:t>
            </w:r>
            <w:r w:rsidRPr="00214E69">
              <w:rPr>
                <w:lang w:val="en-US"/>
              </w:rPr>
              <w:t xml:space="preserve"> </w:t>
            </w:r>
            <w:r>
              <w:t>εγκατάστασης</w:t>
            </w:r>
            <w:r w:rsidRPr="004E7B57">
              <w:rPr>
                <w:lang w:val="en-US"/>
              </w:rPr>
              <w:t xml:space="preserve"> </w:t>
            </w:r>
            <w:r w:rsidR="00754655" w:rsidRPr="00214E69">
              <w:rPr>
                <w:lang w:val="en-US"/>
              </w:rPr>
              <w:t>/</w:t>
            </w:r>
            <w:r w:rsidR="00754655" w:rsidRPr="004E7B57">
              <w:rPr>
                <w:lang w:val="en-US"/>
              </w:rPr>
              <w:t xml:space="preserve"> Plant name – location of installation</w:t>
            </w:r>
          </w:p>
        </w:tc>
        <w:tc>
          <w:tcPr>
            <w:tcW w:w="3600" w:type="dxa"/>
            <w:vAlign w:val="center"/>
          </w:tcPr>
          <w:p w14:paraId="26C2F347" w14:textId="77777777" w:rsidR="00252B53" w:rsidRPr="004E7B57" w:rsidRDefault="00252B53" w:rsidP="0065396F">
            <w:pPr>
              <w:rPr>
                <w:lang w:val="en-US"/>
              </w:rPr>
            </w:pPr>
          </w:p>
        </w:tc>
      </w:tr>
      <w:tr w:rsidR="00252B53" w:rsidRPr="00C72D5D" w14:paraId="655CF54E" w14:textId="77777777" w:rsidTr="0065396F">
        <w:trPr>
          <w:jc w:val="center"/>
        </w:trPr>
        <w:tc>
          <w:tcPr>
            <w:tcW w:w="5130" w:type="dxa"/>
            <w:vAlign w:val="center"/>
          </w:tcPr>
          <w:p w14:paraId="14693DEE" w14:textId="3F784DB7" w:rsidR="00252B53" w:rsidRPr="00C72D5D" w:rsidRDefault="00252B53" w:rsidP="0065396F">
            <w:pPr>
              <w:rPr>
                <w:lang w:val="en-US"/>
              </w:rPr>
            </w:pPr>
            <w:r>
              <w:t>Συνθήκες</w:t>
            </w:r>
            <w:r w:rsidRPr="00C72D5D">
              <w:rPr>
                <w:lang w:val="en-US"/>
              </w:rPr>
              <w:t xml:space="preserve"> </w:t>
            </w:r>
            <w:r>
              <w:t>περιβάλλοντος</w:t>
            </w:r>
            <w:r w:rsidRPr="00C72D5D">
              <w:rPr>
                <w:lang w:val="en-US"/>
              </w:rPr>
              <w:t xml:space="preserve"> </w:t>
            </w:r>
            <w:r>
              <w:t>αναφοράς</w:t>
            </w:r>
            <w:r w:rsidRPr="00C72D5D">
              <w:rPr>
                <w:lang w:val="en-US"/>
              </w:rPr>
              <w:t xml:space="preserve"> (</w:t>
            </w:r>
            <w:r>
              <w:t>εύρος</w:t>
            </w:r>
            <w:r w:rsidRPr="00C72D5D">
              <w:rPr>
                <w:lang w:val="en-US"/>
              </w:rPr>
              <w:t xml:space="preserve"> </w:t>
            </w:r>
            <w:r>
              <w:t>θερμοκρασίας</w:t>
            </w:r>
            <w:r w:rsidRPr="00C72D5D">
              <w:rPr>
                <w:lang w:val="en-US"/>
              </w:rPr>
              <w:t xml:space="preserve"> </w:t>
            </w:r>
            <w:r>
              <w:t>περιβάλλοντος</w:t>
            </w:r>
            <w:r w:rsidRPr="00C72D5D">
              <w:rPr>
                <w:lang w:val="en-US"/>
              </w:rPr>
              <w:t xml:space="preserve">, </w:t>
            </w:r>
            <w:r>
              <w:t>εύρος</w:t>
            </w:r>
            <w:r w:rsidRPr="00C72D5D">
              <w:rPr>
                <w:lang w:val="en-US"/>
              </w:rPr>
              <w:t xml:space="preserve"> </w:t>
            </w:r>
            <w:r>
              <w:t>πίεσης</w:t>
            </w:r>
            <w:r w:rsidRPr="00C72D5D">
              <w:rPr>
                <w:lang w:val="en-US"/>
              </w:rPr>
              <w:t xml:space="preserve">, </w:t>
            </w:r>
            <w:r>
              <w:t>εύρος</w:t>
            </w:r>
            <w:r w:rsidRPr="00C72D5D">
              <w:rPr>
                <w:lang w:val="en-US"/>
              </w:rPr>
              <w:t xml:space="preserve"> </w:t>
            </w:r>
            <w:r>
              <w:t>ακτινοβολίας</w:t>
            </w:r>
            <w:r w:rsidRPr="00C72D5D">
              <w:rPr>
                <w:lang w:val="en-US"/>
              </w:rPr>
              <w:t xml:space="preserve">, </w:t>
            </w:r>
            <w:r>
              <w:t>εύρος</w:t>
            </w:r>
            <w:r w:rsidRPr="00C72D5D">
              <w:rPr>
                <w:lang w:val="en-US"/>
              </w:rPr>
              <w:t xml:space="preserve"> </w:t>
            </w:r>
            <w:r>
              <w:t>υγρασίας</w:t>
            </w:r>
            <w:r w:rsidRPr="00C72D5D">
              <w:rPr>
                <w:lang w:val="en-US"/>
              </w:rPr>
              <w:t>)</w:t>
            </w:r>
            <w:r w:rsidR="00754655" w:rsidRPr="00C72D5D">
              <w:rPr>
                <w:lang w:val="en-US"/>
              </w:rPr>
              <w:t xml:space="preserve"> / </w:t>
            </w:r>
            <w:r w:rsidR="00754655" w:rsidRPr="004E7B57">
              <w:rPr>
                <w:lang w:val="en-US"/>
              </w:rPr>
              <w:t>Reference</w:t>
            </w:r>
            <w:r w:rsidR="00754655" w:rsidRPr="00C72D5D">
              <w:rPr>
                <w:lang w:val="en-US"/>
              </w:rPr>
              <w:t xml:space="preserve"> </w:t>
            </w:r>
            <w:r w:rsidR="00754655" w:rsidRPr="004E7B57">
              <w:rPr>
                <w:lang w:val="en-US"/>
              </w:rPr>
              <w:t>environmental</w:t>
            </w:r>
            <w:r w:rsidR="00754655" w:rsidRPr="00C72D5D">
              <w:rPr>
                <w:lang w:val="en-US"/>
              </w:rPr>
              <w:t xml:space="preserve"> </w:t>
            </w:r>
            <w:r w:rsidR="00754655" w:rsidRPr="004E7B57">
              <w:rPr>
                <w:lang w:val="en-US"/>
              </w:rPr>
              <w:t>conditions</w:t>
            </w:r>
            <w:r w:rsidR="00754655" w:rsidRPr="00C72D5D">
              <w:rPr>
                <w:lang w:val="en-US"/>
              </w:rPr>
              <w:t xml:space="preserve"> (</w:t>
            </w:r>
            <w:r w:rsidR="00754655" w:rsidRPr="004E7B57">
              <w:rPr>
                <w:lang w:val="en-US"/>
              </w:rPr>
              <w:t>ambient</w:t>
            </w:r>
            <w:r w:rsidR="00754655" w:rsidRPr="00C72D5D">
              <w:rPr>
                <w:lang w:val="en-US"/>
              </w:rPr>
              <w:t xml:space="preserve"> </w:t>
            </w:r>
            <w:r w:rsidR="00754655" w:rsidRPr="004E7B57">
              <w:rPr>
                <w:lang w:val="en-US"/>
              </w:rPr>
              <w:t>temperature</w:t>
            </w:r>
            <w:r w:rsidR="00754655" w:rsidRPr="00C72D5D">
              <w:rPr>
                <w:lang w:val="en-US"/>
              </w:rPr>
              <w:t xml:space="preserve"> </w:t>
            </w:r>
            <w:r w:rsidR="00754655" w:rsidRPr="004E7B57">
              <w:rPr>
                <w:lang w:val="en-US"/>
              </w:rPr>
              <w:t>range</w:t>
            </w:r>
            <w:r w:rsidR="00754655" w:rsidRPr="00C72D5D">
              <w:rPr>
                <w:lang w:val="en-US"/>
              </w:rPr>
              <w:t xml:space="preserve">, </w:t>
            </w:r>
            <w:r w:rsidR="00754655" w:rsidRPr="004E7B57">
              <w:rPr>
                <w:lang w:val="en-US"/>
              </w:rPr>
              <w:t>pressure</w:t>
            </w:r>
            <w:r w:rsidR="00754655" w:rsidRPr="00C72D5D">
              <w:rPr>
                <w:lang w:val="en-US"/>
              </w:rPr>
              <w:t xml:space="preserve"> </w:t>
            </w:r>
            <w:r w:rsidR="00754655" w:rsidRPr="004E7B57">
              <w:rPr>
                <w:lang w:val="en-US"/>
              </w:rPr>
              <w:t>range</w:t>
            </w:r>
            <w:r w:rsidR="00754655" w:rsidRPr="00C72D5D">
              <w:rPr>
                <w:lang w:val="en-US"/>
              </w:rPr>
              <w:t xml:space="preserve">, </w:t>
            </w:r>
            <w:r w:rsidR="00754655" w:rsidRPr="004E7B57">
              <w:rPr>
                <w:lang w:val="en-US"/>
              </w:rPr>
              <w:t>radiation</w:t>
            </w:r>
            <w:r w:rsidR="00754655" w:rsidRPr="00C72D5D">
              <w:rPr>
                <w:lang w:val="en-US"/>
              </w:rPr>
              <w:t xml:space="preserve"> </w:t>
            </w:r>
            <w:r w:rsidR="00754655" w:rsidRPr="004E7B57">
              <w:rPr>
                <w:lang w:val="en-US"/>
              </w:rPr>
              <w:t>range</w:t>
            </w:r>
            <w:r w:rsidR="00754655" w:rsidRPr="00C72D5D">
              <w:rPr>
                <w:lang w:val="en-US"/>
              </w:rPr>
              <w:t xml:space="preserve">, </w:t>
            </w:r>
            <w:r w:rsidR="00754655" w:rsidRPr="004E7B57">
              <w:rPr>
                <w:lang w:val="en-US"/>
              </w:rPr>
              <w:t>humidity</w:t>
            </w:r>
            <w:r w:rsidR="00754655" w:rsidRPr="00C72D5D">
              <w:rPr>
                <w:lang w:val="en-US"/>
              </w:rPr>
              <w:t xml:space="preserve"> </w:t>
            </w:r>
            <w:r w:rsidR="00754655" w:rsidRPr="004E7B57">
              <w:rPr>
                <w:lang w:val="en-US"/>
              </w:rPr>
              <w:t>range</w:t>
            </w:r>
            <w:r w:rsidR="00754655" w:rsidRPr="00C72D5D">
              <w:rPr>
                <w:lang w:val="en-US"/>
              </w:rPr>
              <w:t>)</w:t>
            </w:r>
          </w:p>
        </w:tc>
        <w:tc>
          <w:tcPr>
            <w:tcW w:w="3600" w:type="dxa"/>
            <w:vAlign w:val="center"/>
          </w:tcPr>
          <w:p w14:paraId="247987D6" w14:textId="77777777" w:rsidR="00252B53" w:rsidRPr="00C72D5D" w:rsidRDefault="00252B53" w:rsidP="0065396F">
            <w:pPr>
              <w:rPr>
                <w:lang w:val="en-US"/>
              </w:rPr>
            </w:pPr>
          </w:p>
        </w:tc>
      </w:tr>
      <w:tr w:rsidR="00252B53" w:rsidRPr="004E7B57" w14:paraId="7260210F" w14:textId="77777777" w:rsidTr="0065396F">
        <w:trPr>
          <w:jc w:val="center"/>
        </w:trPr>
        <w:tc>
          <w:tcPr>
            <w:tcW w:w="5130" w:type="dxa"/>
            <w:vAlign w:val="center"/>
          </w:tcPr>
          <w:p w14:paraId="3A3BA600" w14:textId="3A80807C" w:rsidR="00252B53" w:rsidRPr="00280D6A" w:rsidRDefault="00252B53" w:rsidP="0065396F">
            <w:r>
              <w:t>Εγγυημένη</w:t>
            </w:r>
            <w:r w:rsidRPr="00280D6A">
              <w:t xml:space="preserve"> </w:t>
            </w:r>
            <w:r>
              <w:t>χωρητικότητα</w:t>
            </w:r>
            <w:r w:rsidRPr="00280D6A">
              <w:t xml:space="preserve"> (</w:t>
            </w:r>
            <w:r>
              <w:t>σε συνθήκες</w:t>
            </w:r>
            <w:r w:rsidRPr="008E6202">
              <w:t xml:space="preserve"> </w:t>
            </w:r>
            <w:r>
              <w:t>περιβάλλοντος</w:t>
            </w:r>
            <w:r w:rsidRPr="008E6202">
              <w:t xml:space="preserve"> </w:t>
            </w:r>
            <w:r>
              <w:t>αναφοράς</w:t>
            </w:r>
            <w:r w:rsidRPr="00280D6A">
              <w:t>)</w:t>
            </w:r>
            <w:r w:rsidRPr="004E7B57">
              <w:rPr>
                <w:rStyle w:val="af0"/>
                <w:lang w:val="en-US"/>
              </w:rPr>
              <w:footnoteReference w:id="4"/>
            </w:r>
            <w:r w:rsidR="00754655">
              <w:t xml:space="preserve"> /</w:t>
            </w:r>
            <w:r w:rsidR="00754655" w:rsidRPr="00754655">
              <w:t xml:space="preserve"> </w:t>
            </w:r>
            <w:r w:rsidR="00754655" w:rsidRPr="004E7B57">
              <w:rPr>
                <w:lang w:val="en-US"/>
              </w:rPr>
              <w:t>Guaranteed</w:t>
            </w:r>
            <w:r w:rsidR="00754655" w:rsidRPr="00754655">
              <w:t xml:space="preserve"> </w:t>
            </w:r>
            <w:r w:rsidR="00754655" w:rsidRPr="004E7B57">
              <w:rPr>
                <w:lang w:val="en-US"/>
              </w:rPr>
              <w:t>Energy</w:t>
            </w:r>
            <w:r w:rsidR="00754655" w:rsidRPr="00754655">
              <w:t xml:space="preserve"> </w:t>
            </w:r>
            <w:r w:rsidR="00754655" w:rsidRPr="004E7B57">
              <w:rPr>
                <w:lang w:val="en-US"/>
              </w:rPr>
              <w:t>Capacity</w:t>
            </w:r>
            <w:r w:rsidR="00754655" w:rsidRPr="00754655">
              <w:t xml:space="preserve"> (</w:t>
            </w:r>
            <w:r w:rsidR="00754655" w:rsidRPr="004E7B57">
              <w:rPr>
                <w:lang w:val="en-US"/>
              </w:rPr>
              <w:t>ref</w:t>
            </w:r>
            <w:r w:rsidR="00754655" w:rsidRPr="00754655">
              <w:t xml:space="preserve">. </w:t>
            </w:r>
            <w:r w:rsidR="00754655" w:rsidRPr="004E7B57">
              <w:rPr>
                <w:lang w:val="en-US"/>
              </w:rPr>
              <w:t>environmental</w:t>
            </w:r>
            <w:r w:rsidR="00754655" w:rsidRPr="00754655">
              <w:t xml:space="preserve"> </w:t>
            </w:r>
            <w:proofErr w:type="spellStart"/>
            <w:r w:rsidR="00754655" w:rsidRPr="004E7B57">
              <w:rPr>
                <w:lang w:val="en-US"/>
              </w:rPr>
              <w:t>cond</w:t>
            </w:r>
            <w:proofErr w:type="spellEnd"/>
            <w:r w:rsidR="00754655" w:rsidRPr="00754655">
              <w:t>.)</w:t>
            </w:r>
            <w:r w:rsidR="00754655" w:rsidRPr="004E7B57">
              <w:rPr>
                <w:rStyle w:val="af0"/>
                <w:lang w:val="en-US"/>
              </w:rPr>
              <w:footnoteReference w:id="5"/>
            </w:r>
          </w:p>
        </w:tc>
        <w:tc>
          <w:tcPr>
            <w:tcW w:w="3600" w:type="dxa"/>
            <w:vAlign w:val="center"/>
          </w:tcPr>
          <w:p w14:paraId="1D5C20B9" w14:textId="77777777" w:rsidR="00252B53" w:rsidRPr="004E7B57" w:rsidRDefault="00252B53" w:rsidP="0065396F">
            <w:pPr>
              <w:rPr>
                <w:lang w:val="en-US"/>
              </w:rPr>
            </w:pPr>
            <w:r w:rsidRPr="004E7B57">
              <w:fldChar w:fldCharType="begin">
                <w:ffData>
                  <w:name w:val="Text25"/>
                  <w:enabled/>
                  <w:calcOnExit w:val="0"/>
                  <w:textInput/>
                </w:ffData>
              </w:fldChar>
            </w:r>
            <w:r w:rsidRPr="004E7B57">
              <w:instrText xml:space="preserve"> FORMTEXT </w:instrText>
            </w:r>
            <w:r w:rsidRPr="004E7B57">
              <w:fldChar w:fldCharType="separate"/>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fldChar w:fldCharType="end"/>
            </w:r>
            <w:r w:rsidRPr="004E7B57">
              <w:rPr>
                <w:lang w:val="en-US"/>
              </w:rPr>
              <w:t xml:space="preserve"> MWh</w:t>
            </w:r>
          </w:p>
        </w:tc>
      </w:tr>
      <w:tr w:rsidR="00252B53" w:rsidRPr="004E7B57" w14:paraId="454E29FD" w14:textId="77777777" w:rsidTr="0065396F">
        <w:trPr>
          <w:trHeight w:val="593"/>
          <w:jc w:val="center"/>
        </w:trPr>
        <w:tc>
          <w:tcPr>
            <w:tcW w:w="5130" w:type="dxa"/>
            <w:vAlign w:val="center"/>
          </w:tcPr>
          <w:p w14:paraId="6CE14411" w14:textId="1CDA1AD5" w:rsidR="00252B53" w:rsidRPr="00754655" w:rsidRDefault="00252B53" w:rsidP="0065396F">
            <w:pPr>
              <w:rPr>
                <w:lang w:val="en-US"/>
              </w:rPr>
            </w:pPr>
            <w:r>
              <w:t>Μέγιστη</w:t>
            </w:r>
            <w:r w:rsidRPr="00754655">
              <w:rPr>
                <w:lang w:val="en-US"/>
              </w:rPr>
              <w:t xml:space="preserve"> </w:t>
            </w:r>
            <w:r>
              <w:t>ισχύς</w:t>
            </w:r>
            <w:r w:rsidRPr="00754655">
              <w:rPr>
                <w:lang w:val="en-US"/>
              </w:rPr>
              <w:t xml:space="preserve"> </w:t>
            </w:r>
            <w:r>
              <w:t>απορρόφησης</w:t>
            </w:r>
            <w:r w:rsidR="00754655" w:rsidRPr="00754655">
              <w:rPr>
                <w:lang w:val="en-US"/>
              </w:rPr>
              <w:t xml:space="preserve"> /</w:t>
            </w:r>
            <w:r w:rsidR="00754655" w:rsidRPr="004E7B57">
              <w:rPr>
                <w:lang w:val="en-US"/>
              </w:rPr>
              <w:t xml:space="preserve"> Nominal active power during charge</w:t>
            </w:r>
          </w:p>
        </w:tc>
        <w:tc>
          <w:tcPr>
            <w:tcW w:w="3600" w:type="dxa"/>
            <w:vAlign w:val="center"/>
          </w:tcPr>
          <w:p w14:paraId="18FD37B0" w14:textId="77777777" w:rsidR="00252B53" w:rsidRPr="004E7B57" w:rsidRDefault="00252B53" w:rsidP="0065396F">
            <w:pPr>
              <w:rPr>
                <w:lang w:val="en-US"/>
              </w:rPr>
            </w:pPr>
            <w:r w:rsidRPr="004E7B57">
              <w:rPr>
                <w:lang w:val="en-US"/>
              </w:rPr>
              <w:fldChar w:fldCharType="begin">
                <w:ffData>
                  <w:name w:val="Text25"/>
                  <w:enabled/>
                  <w:calcOnExit w:val="0"/>
                  <w:textInput/>
                </w:ffData>
              </w:fldChar>
            </w:r>
            <w:r w:rsidRPr="004E7B57">
              <w:rPr>
                <w:lang w:val="en-US"/>
              </w:rPr>
              <w:instrText xml:space="preserve"> FORMTEXT </w:instrText>
            </w:r>
            <w:r w:rsidRPr="004E7B57">
              <w:rPr>
                <w:lang w:val="en-US"/>
              </w:rPr>
            </w:r>
            <w:r w:rsidRPr="004E7B57">
              <w:rPr>
                <w:lang w:val="en-US"/>
              </w:rPr>
              <w:fldChar w:fldCharType="separate"/>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lang w:val="en-US"/>
              </w:rPr>
              <w:fldChar w:fldCharType="end"/>
            </w:r>
            <w:r w:rsidRPr="004E7B57">
              <w:rPr>
                <w:lang w:val="en-US"/>
              </w:rPr>
              <w:t xml:space="preserve"> MW</w:t>
            </w:r>
          </w:p>
        </w:tc>
      </w:tr>
      <w:tr w:rsidR="00252B53" w:rsidRPr="004E7B57" w14:paraId="43079E4A" w14:textId="77777777" w:rsidTr="0065396F">
        <w:trPr>
          <w:trHeight w:val="620"/>
          <w:jc w:val="center"/>
        </w:trPr>
        <w:tc>
          <w:tcPr>
            <w:tcW w:w="5130" w:type="dxa"/>
            <w:vAlign w:val="center"/>
          </w:tcPr>
          <w:p w14:paraId="62AD9A96" w14:textId="31D94D9B" w:rsidR="00252B53" w:rsidRPr="00754655" w:rsidRDefault="00252B53" w:rsidP="0065396F">
            <w:pPr>
              <w:rPr>
                <w:lang w:val="en-US"/>
              </w:rPr>
            </w:pPr>
            <w:r>
              <w:t>Μέγιστη</w:t>
            </w:r>
            <w:r w:rsidRPr="00754655">
              <w:rPr>
                <w:lang w:val="en-US"/>
              </w:rPr>
              <w:t xml:space="preserve"> </w:t>
            </w:r>
            <w:r>
              <w:t>ισχύς</w:t>
            </w:r>
            <w:r w:rsidRPr="00754655">
              <w:rPr>
                <w:lang w:val="en-US"/>
              </w:rPr>
              <w:t xml:space="preserve"> </w:t>
            </w:r>
            <w:r>
              <w:t>έγχυσης</w:t>
            </w:r>
            <w:r w:rsidR="00754655" w:rsidRPr="00754655">
              <w:rPr>
                <w:lang w:val="en-US"/>
              </w:rPr>
              <w:t xml:space="preserve"> / </w:t>
            </w:r>
            <w:r w:rsidR="00754655" w:rsidRPr="004E7B57">
              <w:rPr>
                <w:lang w:val="en-US"/>
              </w:rPr>
              <w:t>Nominal active power during discharge</w:t>
            </w:r>
          </w:p>
        </w:tc>
        <w:tc>
          <w:tcPr>
            <w:tcW w:w="3600" w:type="dxa"/>
            <w:vAlign w:val="center"/>
          </w:tcPr>
          <w:p w14:paraId="391057DD" w14:textId="77777777" w:rsidR="00252B53" w:rsidRPr="004E7B57" w:rsidRDefault="00252B53" w:rsidP="0065396F">
            <w:pPr>
              <w:rPr>
                <w:lang w:val="en-US"/>
              </w:rPr>
            </w:pPr>
            <w:r w:rsidRPr="004E7B57">
              <w:rPr>
                <w:lang w:val="en-US"/>
              </w:rPr>
              <w:fldChar w:fldCharType="begin">
                <w:ffData>
                  <w:name w:val="Text25"/>
                  <w:enabled/>
                  <w:calcOnExit w:val="0"/>
                  <w:textInput/>
                </w:ffData>
              </w:fldChar>
            </w:r>
            <w:r w:rsidRPr="004E7B57">
              <w:rPr>
                <w:lang w:val="en-US"/>
              </w:rPr>
              <w:instrText xml:space="preserve"> FORMTEXT </w:instrText>
            </w:r>
            <w:r w:rsidRPr="004E7B57">
              <w:rPr>
                <w:lang w:val="en-US"/>
              </w:rPr>
            </w:r>
            <w:r w:rsidRPr="004E7B57">
              <w:rPr>
                <w:lang w:val="en-US"/>
              </w:rPr>
              <w:fldChar w:fldCharType="separate"/>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lang w:val="en-US"/>
              </w:rPr>
              <w:fldChar w:fldCharType="end"/>
            </w:r>
            <w:r w:rsidRPr="004E7B57">
              <w:rPr>
                <w:lang w:val="en-US"/>
              </w:rPr>
              <w:t xml:space="preserve"> MW</w:t>
            </w:r>
          </w:p>
        </w:tc>
      </w:tr>
      <w:tr w:rsidR="00252B53" w:rsidRPr="004E7B57" w14:paraId="3F0EC970" w14:textId="77777777" w:rsidTr="0065396F">
        <w:trPr>
          <w:jc w:val="center"/>
        </w:trPr>
        <w:tc>
          <w:tcPr>
            <w:tcW w:w="5130" w:type="dxa"/>
            <w:vAlign w:val="center"/>
          </w:tcPr>
          <w:p w14:paraId="16505108" w14:textId="6C783162" w:rsidR="00252B53" w:rsidRPr="00754655" w:rsidRDefault="00252B53" w:rsidP="0065396F">
            <w:pPr>
              <w:rPr>
                <w:lang w:val="en-US"/>
              </w:rPr>
            </w:pPr>
            <w:r>
              <w:t>Διαθεσιμότητα</w:t>
            </w:r>
            <w:r w:rsidRPr="00754655">
              <w:rPr>
                <w:lang w:val="en-US"/>
              </w:rPr>
              <w:t xml:space="preserve"> </w:t>
            </w:r>
            <w:r>
              <w:t>ισχύος</w:t>
            </w:r>
            <w:r w:rsidRPr="00754655">
              <w:rPr>
                <w:lang w:val="en-US"/>
              </w:rPr>
              <w:t xml:space="preserve"> (</w:t>
            </w:r>
            <w:r>
              <w:t>ως</w:t>
            </w:r>
            <w:r w:rsidRPr="00754655">
              <w:rPr>
                <w:lang w:val="en-US"/>
              </w:rPr>
              <w:t xml:space="preserve"> </w:t>
            </w:r>
            <w:r>
              <w:t>μέση</w:t>
            </w:r>
            <w:r w:rsidRPr="00754655">
              <w:rPr>
                <w:lang w:val="en-US"/>
              </w:rPr>
              <w:t xml:space="preserve"> </w:t>
            </w:r>
            <w:r>
              <w:t>τιμή</w:t>
            </w:r>
            <w:r w:rsidRPr="00754655">
              <w:rPr>
                <w:lang w:val="en-US"/>
              </w:rPr>
              <w:t xml:space="preserve"> </w:t>
            </w:r>
            <w:r>
              <w:t>ανά</w:t>
            </w:r>
            <w:r w:rsidRPr="00754655">
              <w:rPr>
                <w:lang w:val="en-US"/>
              </w:rPr>
              <w:t xml:space="preserve"> </w:t>
            </w:r>
            <w:r>
              <w:t>διετία</w:t>
            </w:r>
            <w:r w:rsidRPr="00754655">
              <w:rPr>
                <w:lang w:val="en-US"/>
              </w:rPr>
              <w:t>)</w:t>
            </w:r>
            <w:r w:rsidR="00754655" w:rsidRPr="00754655">
              <w:rPr>
                <w:lang w:val="en-US"/>
              </w:rPr>
              <w:t xml:space="preserve"> /</w:t>
            </w:r>
            <w:r w:rsidR="00754655">
              <w:rPr>
                <w:lang w:val="en-US"/>
              </w:rPr>
              <w:t xml:space="preserve"> Availability factor</w:t>
            </w:r>
            <w:r w:rsidR="00754655" w:rsidRPr="00FE596B">
              <w:rPr>
                <w:lang w:val="en-US"/>
              </w:rPr>
              <w:t xml:space="preserve"> </w:t>
            </w:r>
            <w:r w:rsidR="00754655">
              <w:rPr>
                <w:lang w:val="en-US"/>
              </w:rPr>
              <w:t>(as mean value per two years)</w:t>
            </w:r>
          </w:p>
        </w:tc>
        <w:tc>
          <w:tcPr>
            <w:tcW w:w="3600" w:type="dxa"/>
            <w:vAlign w:val="center"/>
          </w:tcPr>
          <w:p w14:paraId="224152B6" w14:textId="77777777" w:rsidR="00252B53" w:rsidRPr="004E7B57" w:rsidRDefault="00252B53" w:rsidP="0065396F">
            <w:r w:rsidRPr="004E7B57">
              <w:fldChar w:fldCharType="begin">
                <w:ffData>
                  <w:name w:val="Text25"/>
                  <w:enabled/>
                  <w:calcOnExit w:val="0"/>
                  <w:textInput/>
                </w:ffData>
              </w:fldChar>
            </w:r>
            <w:r w:rsidRPr="004E7B57">
              <w:instrText xml:space="preserve"> FORMTEXT </w:instrText>
            </w:r>
            <w:r w:rsidRPr="004E7B57">
              <w:fldChar w:fldCharType="separate"/>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fldChar w:fldCharType="end"/>
            </w:r>
            <w:r w:rsidRPr="004E7B57">
              <w:rPr>
                <w:lang w:val="en-US"/>
              </w:rPr>
              <w:t xml:space="preserve"> %</w:t>
            </w:r>
          </w:p>
        </w:tc>
      </w:tr>
      <w:tr w:rsidR="00252B53" w:rsidRPr="004E7B57" w14:paraId="71CE3D62" w14:textId="77777777" w:rsidTr="0065396F">
        <w:trPr>
          <w:jc w:val="center"/>
        </w:trPr>
        <w:tc>
          <w:tcPr>
            <w:tcW w:w="5130" w:type="dxa"/>
            <w:vAlign w:val="center"/>
          </w:tcPr>
          <w:p w14:paraId="3552A5CE" w14:textId="6ABA23F0" w:rsidR="00252B53" w:rsidRPr="00754655" w:rsidRDefault="00252B53" w:rsidP="0065396F">
            <w:r>
              <w:t>Μέγιστη κατανάλωση βοηθητικού φορτίου</w:t>
            </w:r>
            <w:r w:rsidRPr="00754655">
              <w:t xml:space="preserve"> </w:t>
            </w:r>
            <w:r w:rsidR="00754655">
              <w:t xml:space="preserve">/ </w:t>
            </w:r>
            <w:r w:rsidR="00754655" w:rsidRPr="004E7B57">
              <w:rPr>
                <w:lang w:val="en-US"/>
              </w:rPr>
              <w:t>Max</w:t>
            </w:r>
            <w:r w:rsidR="00754655" w:rsidRPr="00754655">
              <w:t xml:space="preserve"> </w:t>
            </w:r>
            <w:r w:rsidR="00754655" w:rsidRPr="004E7B57">
              <w:rPr>
                <w:lang w:val="en-US"/>
              </w:rPr>
              <w:t>auxiliary</w:t>
            </w:r>
            <w:r w:rsidR="00754655" w:rsidRPr="00754655">
              <w:t xml:space="preserve"> </w:t>
            </w:r>
            <w:r w:rsidR="00754655" w:rsidRPr="004E7B57">
              <w:rPr>
                <w:lang w:val="en-US"/>
              </w:rPr>
              <w:t>load</w:t>
            </w:r>
            <w:r w:rsidR="00754655" w:rsidRPr="00754655">
              <w:t xml:space="preserve"> </w:t>
            </w:r>
            <w:r w:rsidR="00754655" w:rsidRPr="004E7B57">
              <w:rPr>
                <w:lang w:val="en-US"/>
              </w:rPr>
              <w:t>consumption</w:t>
            </w:r>
            <w:r w:rsidR="00754655" w:rsidRPr="00754655">
              <w:t xml:space="preserve">  </w:t>
            </w:r>
          </w:p>
        </w:tc>
        <w:tc>
          <w:tcPr>
            <w:tcW w:w="3600" w:type="dxa"/>
            <w:vAlign w:val="center"/>
          </w:tcPr>
          <w:p w14:paraId="3EAF9AB1" w14:textId="77777777" w:rsidR="00252B53" w:rsidRPr="004E7B57" w:rsidRDefault="00252B53" w:rsidP="0065396F">
            <w:r w:rsidRPr="004E7B57">
              <w:rPr>
                <w:lang w:val="en-US"/>
              </w:rPr>
              <w:fldChar w:fldCharType="begin">
                <w:ffData>
                  <w:name w:val="Text25"/>
                  <w:enabled/>
                  <w:calcOnExit w:val="0"/>
                  <w:textInput/>
                </w:ffData>
              </w:fldChar>
            </w:r>
            <w:r w:rsidRPr="004E7B57">
              <w:rPr>
                <w:lang w:val="en-US"/>
              </w:rPr>
              <w:instrText xml:space="preserve"> FORMTEXT </w:instrText>
            </w:r>
            <w:r w:rsidRPr="004E7B57">
              <w:rPr>
                <w:lang w:val="en-US"/>
              </w:rPr>
            </w:r>
            <w:r w:rsidRPr="004E7B57">
              <w:rPr>
                <w:lang w:val="en-US"/>
              </w:rPr>
              <w:fldChar w:fldCharType="separate"/>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lang w:val="en-US"/>
              </w:rPr>
              <w:fldChar w:fldCharType="end"/>
            </w:r>
            <w:r w:rsidRPr="004E7B57">
              <w:rPr>
                <w:lang w:val="en-US"/>
              </w:rPr>
              <w:t xml:space="preserve"> MW, </w:t>
            </w:r>
            <w:r w:rsidRPr="004E7B57">
              <w:rPr>
                <w:lang w:val="en-US"/>
              </w:rPr>
              <w:fldChar w:fldCharType="begin">
                <w:ffData>
                  <w:name w:val="Text25"/>
                  <w:enabled/>
                  <w:calcOnExit w:val="0"/>
                  <w:textInput/>
                </w:ffData>
              </w:fldChar>
            </w:r>
            <w:r w:rsidRPr="004E7B57">
              <w:rPr>
                <w:lang w:val="en-US"/>
              </w:rPr>
              <w:instrText xml:space="preserve"> FORMTEXT </w:instrText>
            </w:r>
            <w:r w:rsidRPr="004E7B57">
              <w:rPr>
                <w:lang w:val="en-US"/>
              </w:rPr>
            </w:r>
            <w:r w:rsidRPr="004E7B57">
              <w:rPr>
                <w:lang w:val="en-US"/>
              </w:rPr>
              <w:fldChar w:fldCharType="separate"/>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rFonts w:eastAsia="Arial Unicode MS"/>
                <w:noProof/>
                <w:lang w:val="en-US"/>
              </w:rPr>
              <w:t> </w:t>
            </w:r>
            <w:r w:rsidRPr="004E7B57">
              <w:rPr>
                <w:lang w:val="en-US"/>
              </w:rPr>
              <w:fldChar w:fldCharType="end"/>
            </w:r>
            <w:r w:rsidRPr="004E7B57">
              <w:rPr>
                <w:lang w:val="en-US"/>
              </w:rPr>
              <w:t xml:space="preserve"> MVAr</w:t>
            </w:r>
          </w:p>
        </w:tc>
      </w:tr>
      <w:tr w:rsidR="00252B53" w:rsidRPr="004E7B57" w14:paraId="117D0E03" w14:textId="77777777" w:rsidTr="0065396F">
        <w:trPr>
          <w:jc w:val="center"/>
        </w:trPr>
        <w:tc>
          <w:tcPr>
            <w:tcW w:w="5130" w:type="dxa"/>
            <w:vAlign w:val="center"/>
          </w:tcPr>
          <w:p w14:paraId="1015C494" w14:textId="28A7759E" w:rsidR="00252B53" w:rsidRPr="00754655" w:rsidRDefault="00252B53" w:rsidP="0065396F">
            <w:pPr>
              <w:rPr>
                <w:lang w:val="en-US"/>
              </w:rPr>
            </w:pPr>
            <w:r>
              <w:t>Ημερήσια</w:t>
            </w:r>
            <w:r w:rsidRPr="00754655">
              <w:rPr>
                <w:lang w:val="en-US"/>
              </w:rPr>
              <w:t xml:space="preserve"> </w:t>
            </w:r>
            <w:r>
              <w:t>κατανάλωση</w:t>
            </w:r>
            <w:r w:rsidRPr="00754655">
              <w:rPr>
                <w:lang w:val="en-US"/>
              </w:rPr>
              <w:t xml:space="preserve"> </w:t>
            </w:r>
            <w:r>
              <w:t>ενέργειας</w:t>
            </w:r>
            <w:r w:rsidRPr="00754655">
              <w:rPr>
                <w:lang w:val="en-US"/>
              </w:rPr>
              <w:t xml:space="preserve"> </w:t>
            </w:r>
            <w:r>
              <w:t>σε</w:t>
            </w:r>
            <w:r w:rsidRPr="00754655">
              <w:rPr>
                <w:lang w:val="en-US"/>
              </w:rPr>
              <w:t xml:space="preserve"> </w:t>
            </w:r>
            <w:r>
              <w:t>κατάσταση</w:t>
            </w:r>
            <w:r w:rsidRPr="00754655">
              <w:rPr>
                <w:lang w:val="en-US"/>
              </w:rPr>
              <w:t xml:space="preserve"> </w:t>
            </w:r>
            <w:r>
              <w:t>αναμονής</w:t>
            </w:r>
            <w:r w:rsidR="00754655" w:rsidRPr="00754655">
              <w:rPr>
                <w:lang w:val="en-US"/>
              </w:rPr>
              <w:t xml:space="preserve"> / Daily standby energy consumption (auxiliary load, losses and self-discharge of storage system)</w:t>
            </w:r>
          </w:p>
        </w:tc>
        <w:tc>
          <w:tcPr>
            <w:tcW w:w="3600" w:type="dxa"/>
            <w:vAlign w:val="center"/>
          </w:tcPr>
          <w:p w14:paraId="2E230B81" w14:textId="77777777" w:rsidR="00252B53" w:rsidRPr="004E7B57" w:rsidRDefault="00252B53" w:rsidP="0065396F">
            <w:pPr>
              <w:rPr>
                <w:lang w:val="en-US"/>
              </w:rPr>
            </w:pPr>
            <w:r w:rsidRPr="004E7B57">
              <w:fldChar w:fldCharType="begin">
                <w:ffData>
                  <w:name w:val="Text25"/>
                  <w:enabled/>
                  <w:calcOnExit w:val="0"/>
                  <w:textInput/>
                </w:ffData>
              </w:fldChar>
            </w:r>
            <w:r w:rsidRPr="004E7B57">
              <w:instrText xml:space="preserve"> FORMTEXT </w:instrText>
            </w:r>
            <w:r w:rsidRPr="004E7B57">
              <w:fldChar w:fldCharType="separate"/>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fldChar w:fldCharType="end"/>
            </w:r>
            <w:r w:rsidRPr="004E7B57">
              <w:rPr>
                <w:lang w:val="en-US"/>
              </w:rPr>
              <w:t xml:space="preserve"> MWh</w:t>
            </w:r>
          </w:p>
        </w:tc>
      </w:tr>
      <w:tr w:rsidR="00252B53" w:rsidRPr="004E7B57" w14:paraId="21973A59" w14:textId="77777777" w:rsidTr="0065396F">
        <w:trPr>
          <w:jc w:val="center"/>
        </w:trPr>
        <w:tc>
          <w:tcPr>
            <w:tcW w:w="5130" w:type="dxa"/>
            <w:vAlign w:val="center"/>
          </w:tcPr>
          <w:p w14:paraId="058F3AC5" w14:textId="47C76B7B" w:rsidR="00252B53" w:rsidRPr="00C34FA4" w:rsidRDefault="00252B53" w:rsidP="0065396F">
            <w:pPr>
              <w:rPr>
                <w:lang w:val="en-US"/>
              </w:rPr>
            </w:pPr>
            <w:r>
              <w:t>Απώλειες</w:t>
            </w:r>
            <w:r w:rsidRPr="00D17E72">
              <w:rPr>
                <w:lang w:val="en-US"/>
              </w:rPr>
              <w:t xml:space="preserve"> </w:t>
            </w:r>
            <w:r>
              <w:t>φόρτισης</w:t>
            </w:r>
            <w:r w:rsidRPr="004E7B57">
              <w:rPr>
                <w:lang w:val="en-US"/>
              </w:rPr>
              <w:t xml:space="preserve"> (% </w:t>
            </w:r>
            <w:r>
              <w:t>εγκατεστημένης</w:t>
            </w:r>
            <w:r w:rsidRPr="00C34FA4">
              <w:rPr>
                <w:lang w:val="en-US"/>
              </w:rPr>
              <w:t xml:space="preserve"> </w:t>
            </w:r>
            <w:r>
              <w:t>χωρητικότητας</w:t>
            </w:r>
            <w:r w:rsidRPr="004E7B57">
              <w:rPr>
                <w:lang w:val="en-US"/>
              </w:rPr>
              <w:t>)</w:t>
            </w:r>
            <w:r w:rsidR="00C34FA4" w:rsidRPr="00C34FA4">
              <w:rPr>
                <w:lang w:val="en-US"/>
              </w:rPr>
              <w:t xml:space="preserve"> / </w:t>
            </w:r>
            <w:r w:rsidR="00C34FA4" w:rsidRPr="004E7B57">
              <w:rPr>
                <w:lang w:val="en-US"/>
              </w:rPr>
              <w:t>Charging losses (% of nominal energy capacity)</w:t>
            </w:r>
          </w:p>
        </w:tc>
        <w:tc>
          <w:tcPr>
            <w:tcW w:w="3600" w:type="dxa"/>
            <w:vAlign w:val="center"/>
          </w:tcPr>
          <w:p w14:paraId="62CE5B73" w14:textId="77777777" w:rsidR="00252B53" w:rsidRPr="004E7B57" w:rsidRDefault="00252B53" w:rsidP="0065396F">
            <w:pPr>
              <w:rPr>
                <w:lang w:val="en-US"/>
              </w:rPr>
            </w:pPr>
            <w:r w:rsidRPr="004E7B57">
              <w:fldChar w:fldCharType="begin">
                <w:ffData>
                  <w:name w:val="Text25"/>
                  <w:enabled/>
                  <w:calcOnExit w:val="0"/>
                  <w:textInput/>
                </w:ffData>
              </w:fldChar>
            </w:r>
            <w:r w:rsidRPr="004E7B57">
              <w:instrText xml:space="preserve"> FORMTEXT </w:instrText>
            </w:r>
            <w:r w:rsidRPr="004E7B57">
              <w:fldChar w:fldCharType="separate"/>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fldChar w:fldCharType="end"/>
            </w:r>
            <w:r w:rsidRPr="004E7B57">
              <w:rPr>
                <w:lang w:val="en-US"/>
              </w:rPr>
              <w:t xml:space="preserve"> %</w:t>
            </w:r>
          </w:p>
        </w:tc>
      </w:tr>
      <w:tr w:rsidR="00252B53" w:rsidRPr="004E7B57" w14:paraId="65693D7D" w14:textId="77777777" w:rsidTr="0065396F">
        <w:trPr>
          <w:jc w:val="center"/>
        </w:trPr>
        <w:tc>
          <w:tcPr>
            <w:tcW w:w="5130" w:type="dxa"/>
            <w:vAlign w:val="center"/>
          </w:tcPr>
          <w:p w14:paraId="41A62D91" w14:textId="238AF8CF" w:rsidR="00252B53" w:rsidRPr="00C34FA4" w:rsidRDefault="00252B53" w:rsidP="0065396F">
            <w:pPr>
              <w:rPr>
                <w:lang w:val="en-US"/>
              </w:rPr>
            </w:pPr>
            <w:r>
              <w:t>Απώλειες</w:t>
            </w:r>
            <w:r w:rsidRPr="00D17E72">
              <w:rPr>
                <w:lang w:val="en-US"/>
              </w:rPr>
              <w:t xml:space="preserve"> </w:t>
            </w:r>
            <w:proofErr w:type="spellStart"/>
            <w:r>
              <w:t>εκφόρτισης</w:t>
            </w:r>
            <w:proofErr w:type="spellEnd"/>
            <w:r w:rsidRPr="004E7B57">
              <w:rPr>
                <w:lang w:val="en-US"/>
              </w:rPr>
              <w:t xml:space="preserve"> (%</w:t>
            </w:r>
            <w:r w:rsidRPr="00C34FA4">
              <w:rPr>
                <w:lang w:val="en-US"/>
              </w:rPr>
              <w:t xml:space="preserve"> </w:t>
            </w:r>
            <w:r>
              <w:t>εγκατεστημένης</w:t>
            </w:r>
            <w:r w:rsidRPr="00C34FA4">
              <w:rPr>
                <w:lang w:val="en-US"/>
              </w:rPr>
              <w:t xml:space="preserve"> </w:t>
            </w:r>
            <w:r>
              <w:t>χωρητικότητας</w:t>
            </w:r>
            <w:r w:rsidRPr="004E7B57">
              <w:rPr>
                <w:lang w:val="en-US"/>
              </w:rPr>
              <w:t>)</w:t>
            </w:r>
            <w:r w:rsidR="00C34FA4" w:rsidRPr="00C34FA4">
              <w:rPr>
                <w:lang w:val="en-US"/>
              </w:rPr>
              <w:t xml:space="preserve"> / </w:t>
            </w:r>
            <w:r w:rsidR="00C34FA4" w:rsidRPr="004E7B57">
              <w:rPr>
                <w:lang w:val="en-US"/>
              </w:rPr>
              <w:t>Discharging losses (% of nominal energy capacity)</w:t>
            </w:r>
          </w:p>
        </w:tc>
        <w:tc>
          <w:tcPr>
            <w:tcW w:w="3600" w:type="dxa"/>
            <w:vAlign w:val="center"/>
          </w:tcPr>
          <w:p w14:paraId="1F2EE739" w14:textId="77777777" w:rsidR="00252B53" w:rsidRPr="004E7B57" w:rsidRDefault="00252B53" w:rsidP="0065396F">
            <w:pPr>
              <w:rPr>
                <w:lang w:val="en-US"/>
              </w:rPr>
            </w:pPr>
            <w:r w:rsidRPr="004E7B57">
              <w:fldChar w:fldCharType="begin">
                <w:ffData>
                  <w:name w:val="Text25"/>
                  <w:enabled/>
                  <w:calcOnExit w:val="0"/>
                  <w:textInput/>
                </w:ffData>
              </w:fldChar>
            </w:r>
            <w:r w:rsidRPr="004E7B57">
              <w:instrText xml:space="preserve"> FORMTEXT </w:instrText>
            </w:r>
            <w:r w:rsidRPr="004E7B57">
              <w:fldChar w:fldCharType="separate"/>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fldChar w:fldCharType="end"/>
            </w:r>
            <w:r w:rsidRPr="004E7B57">
              <w:rPr>
                <w:lang w:val="en-US"/>
              </w:rPr>
              <w:t xml:space="preserve"> %</w:t>
            </w:r>
          </w:p>
        </w:tc>
      </w:tr>
      <w:tr w:rsidR="00252B53" w:rsidRPr="004E7B57" w14:paraId="1CEDA878" w14:textId="77777777" w:rsidTr="0065396F">
        <w:trPr>
          <w:jc w:val="center"/>
        </w:trPr>
        <w:tc>
          <w:tcPr>
            <w:tcW w:w="5130" w:type="dxa"/>
            <w:vAlign w:val="center"/>
          </w:tcPr>
          <w:p w14:paraId="1168BEB4" w14:textId="2B90EFAA" w:rsidR="00252B53" w:rsidRPr="004E7B57" w:rsidRDefault="00252B53" w:rsidP="0065396F">
            <w:pPr>
              <w:rPr>
                <w:lang w:val="en-US"/>
              </w:rPr>
            </w:pPr>
            <w:r>
              <w:t>Βαθμός απόδοσης φόρτισης</w:t>
            </w:r>
            <w:r w:rsidR="00C34FA4">
              <w:t xml:space="preserve"> / </w:t>
            </w:r>
            <w:r w:rsidR="00C34FA4" w:rsidRPr="004E7B57">
              <w:rPr>
                <w:lang w:val="en-US"/>
              </w:rPr>
              <w:t>Charge Efficiency</w:t>
            </w:r>
          </w:p>
        </w:tc>
        <w:tc>
          <w:tcPr>
            <w:tcW w:w="3600" w:type="dxa"/>
            <w:vAlign w:val="center"/>
          </w:tcPr>
          <w:p w14:paraId="7A68AE25" w14:textId="77777777" w:rsidR="00252B53" w:rsidRPr="004E7B57" w:rsidRDefault="00252B53" w:rsidP="0065396F">
            <w:pPr>
              <w:rPr>
                <w:lang w:val="en-US"/>
              </w:rPr>
            </w:pPr>
            <w:r w:rsidRPr="004E7B57">
              <w:fldChar w:fldCharType="begin">
                <w:ffData>
                  <w:name w:val="Text25"/>
                  <w:enabled/>
                  <w:calcOnExit w:val="0"/>
                  <w:textInput/>
                </w:ffData>
              </w:fldChar>
            </w:r>
            <w:r w:rsidRPr="004E7B57">
              <w:instrText xml:space="preserve"> FORMTEXT </w:instrText>
            </w:r>
            <w:r w:rsidRPr="004E7B57">
              <w:fldChar w:fldCharType="separate"/>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fldChar w:fldCharType="end"/>
            </w:r>
            <w:r w:rsidRPr="004E7B57">
              <w:rPr>
                <w:lang w:val="en-US"/>
              </w:rPr>
              <w:t xml:space="preserve"> %</w:t>
            </w:r>
          </w:p>
        </w:tc>
      </w:tr>
      <w:tr w:rsidR="00252B53" w:rsidRPr="004E7B57" w14:paraId="17371196" w14:textId="77777777" w:rsidTr="0065396F">
        <w:trPr>
          <w:jc w:val="center"/>
        </w:trPr>
        <w:tc>
          <w:tcPr>
            <w:tcW w:w="5130" w:type="dxa"/>
            <w:vAlign w:val="center"/>
          </w:tcPr>
          <w:p w14:paraId="6464D424" w14:textId="712A2B42" w:rsidR="00252B53" w:rsidRPr="00C34FA4" w:rsidRDefault="00252B53" w:rsidP="0065396F">
            <w:r>
              <w:t xml:space="preserve">Βαθμός απόδοσης </w:t>
            </w:r>
            <w:proofErr w:type="spellStart"/>
            <w:r>
              <w:t>εκφόρτισης</w:t>
            </w:r>
            <w:proofErr w:type="spellEnd"/>
            <w:r w:rsidRPr="00C34FA4">
              <w:t xml:space="preserve"> </w:t>
            </w:r>
            <w:r w:rsidR="00C34FA4">
              <w:t xml:space="preserve">/ </w:t>
            </w:r>
            <w:r w:rsidR="00C34FA4" w:rsidRPr="004E7B57">
              <w:rPr>
                <w:lang w:val="en-US"/>
              </w:rPr>
              <w:t>Discharge</w:t>
            </w:r>
            <w:r w:rsidR="00C34FA4" w:rsidRPr="00C34FA4">
              <w:t xml:space="preserve"> </w:t>
            </w:r>
            <w:r w:rsidR="00C34FA4" w:rsidRPr="004E7B57">
              <w:rPr>
                <w:lang w:val="en-US"/>
              </w:rPr>
              <w:t>Efficiency</w:t>
            </w:r>
          </w:p>
        </w:tc>
        <w:tc>
          <w:tcPr>
            <w:tcW w:w="3600" w:type="dxa"/>
            <w:vAlign w:val="center"/>
          </w:tcPr>
          <w:p w14:paraId="0B2B4D09" w14:textId="77777777" w:rsidR="00252B53" w:rsidRPr="004E7B57" w:rsidRDefault="00252B53" w:rsidP="0065396F">
            <w:pPr>
              <w:rPr>
                <w:lang w:val="en-US"/>
              </w:rPr>
            </w:pPr>
            <w:r w:rsidRPr="004E7B57">
              <w:fldChar w:fldCharType="begin">
                <w:ffData>
                  <w:name w:val="Text25"/>
                  <w:enabled/>
                  <w:calcOnExit w:val="0"/>
                  <w:textInput/>
                </w:ffData>
              </w:fldChar>
            </w:r>
            <w:r w:rsidRPr="004E7B57">
              <w:instrText xml:space="preserve"> FORMTEXT </w:instrText>
            </w:r>
            <w:r w:rsidRPr="004E7B57">
              <w:fldChar w:fldCharType="separate"/>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fldChar w:fldCharType="end"/>
            </w:r>
            <w:r w:rsidRPr="004E7B57">
              <w:rPr>
                <w:lang w:val="en-US"/>
              </w:rPr>
              <w:t xml:space="preserve"> %</w:t>
            </w:r>
          </w:p>
        </w:tc>
      </w:tr>
      <w:tr w:rsidR="00252B53" w:rsidRPr="004E7B57" w14:paraId="0044105F" w14:textId="77777777" w:rsidTr="0065396F">
        <w:trPr>
          <w:jc w:val="center"/>
        </w:trPr>
        <w:tc>
          <w:tcPr>
            <w:tcW w:w="5130" w:type="dxa"/>
            <w:vAlign w:val="center"/>
          </w:tcPr>
          <w:p w14:paraId="36AA6DA0" w14:textId="7CF07E92" w:rsidR="00252B53" w:rsidRPr="00214E69" w:rsidRDefault="00252B53" w:rsidP="0065396F">
            <w:pPr>
              <w:rPr>
                <w:lang w:val="en-US"/>
              </w:rPr>
            </w:pPr>
            <w:r>
              <w:t>Βαθμός</w:t>
            </w:r>
            <w:r w:rsidRPr="00214E69">
              <w:rPr>
                <w:lang w:val="en-US"/>
              </w:rPr>
              <w:t xml:space="preserve"> </w:t>
            </w:r>
            <w:r>
              <w:t>απόδοσης</w:t>
            </w:r>
            <w:r w:rsidRPr="00214E69">
              <w:rPr>
                <w:lang w:val="en-US"/>
              </w:rPr>
              <w:t xml:space="preserve"> </w:t>
            </w:r>
            <w:r>
              <w:t>πλήρους</w:t>
            </w:r>
            <w:r w:rsidRPr="00214E69">
              <w:rPr>
                <w:lang w:val="en-US"/>
              </w:rPr>
              <w:t xml:space="preserve"> </w:t>
            </w:r>
            <w:r>
              <w:t>κύκλου</w:t>
            </w:r>
            <w:r w:rsidRPr="004E7B57">
              <w:rPr>
                <w:lang w:val="en-US"/>
              </w:rPr>
              <w:t xml:space="preserve"> </w:t>
            </w:r>
            <w:r w:rsidR="00C34FA4" w:rsidRPr="00214E69">
              <w:rPr>
                <w:lang w:val="en-US"/>
              </w:rPr>
              <w:t xml:space="preserve">/ </w:t>
            </w:r>
            <w:r w:rsidR="00C34FA4" w:rsidRPr="004E7B57">
              <w:rPr>
                <w:lang w:val="en-US"/>
              </w:rPr>
              <w:t>Round Trip Efficiency full cycle</w:t>
            </w:r>
          </w:p>
        </w:tc>
        <w:tc>
          <w:tcPr>
            <w:tcW w:w="3600" w:type="dxa"/>
            <w:vAlign w:val="center"/>
          </w:tcPr>
          <w:p w14:paraId="433C6D90" w14:textId="77777777" w:rsidR="00252B53" w:rsidRPr="004E7B57" w:rsidRDefault="00252B53" w:rsidP="0065396F">
            <w:pPr>
              <w:rPr>
                <w:lang w:val="en-US"/>
              </w:rPr>
            </w:pPr>
            <w:r w:rsidRPr="004E7B57">
              <w:fldChar w:fldCharType="begin">
                <w:ffData>
                  <w:name w:val="Text25"/>
                  <w:enabled/>
                  <w:calcOnExit w:val="0"/>
                  <w:textInput/>
                </w:ffData>
              </w:fldChar>
            </w:r>
            <w:r w:rsidRPr="004E7B57">
              <w:instrText xml:space="preserve"> FORMTEXT </w:instrText>
            </w:r>
            <w:r w:rsidRPr="004E7B57">
              <w:fldChar w:fldCharType="separate"/>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rPr>
                <w:rFonts w:eastAsia="Arial Unicode MS"/>
                <w:noProof/>
              </w:rPr>
              <w:t> </w:t>
            </w:r>
            <w:r w:rsidRPr="004E7B57">
              <w:fldChar w:fldCharType="end"/>
            </w:r>
            <w:r w:rsidRPr="004E7B57">
              <w:rPr>
                <w:lang w:val="en-US"/>
              </w:rPr>
              <w:t xml:space="preserve"> %</w:t>
            </w:r>
          </w:p>
        </w:tc>
      </w:tr>
    </w:tbl>
    <w:p w14:paraId="1591F774" w14:textId="77777777" w:rsidR="009A09BD" w:rsidRPr="004E7B57" w:rsidRDefault="009A09BD" w:rsidP="00E76414">
      <w:pPr>
        <w:rPr>
          <w:lang w:val="en-US"/>
        </w:rPr>
      </w:pPr>
      <w:r w:rsidRPr="004E7B57">
        <w:rPr>
          <w:lang w:val="en-US"/>
        </w:rPr>
        <w:br w:type="page"/>
      </w:r>
    </w:p>
    <w:p w14:paraId="251DE9A3" w14:textId="2AA4209C" w:rsidR="009A09BD" w:rsidRPr="00270360" w:rsidRDefault="009A09BD" w:rsidP="00270360">
      <w:pPr>
        <w:jc w:val="center"/>
        <w:rPr>
          <w:b/>
          <w:bCs/>
        </w:rPr>
      </w:pPr>
      <w:r w:rsidRPr="00270360">
        <w:rPr>
          <w:b/>
          <w:bCs/>
        </w:rPr>
        <w:lastRenderedPageBreak/>
        <w:t>ΠΑΡΑΡΤΗΜΑ Β2</w:t>
      </w:r>
    </w:p>
    <w:p w14:paraId="34B7CB91" w14:textId="77777777" w:rsidR="000D19AF" w:rsidRPr="00270360" w:rsidRDefault="000D19AF" w:rsidP="00270360">
      <w:pPr>
        <w:jc w:val="center"/>
        <w:rPr>
          <w:b/>
          <w:bCs/>
        </w:rPr>
      </w:pPr>
    </w:p>
    <w:p w14:paraId="0798C8FE" w14:textId="5E8523B5" w:rsidR="009A09BD" w:rsidRPr="00270360" w:rsidRDefault="009A09BD" w:rsidP="00270360">
      <w:pPr>
        <w:jc w:val="center"/>
        <w:rPr>
          <w:b/>
          <w:bCs/>
        </w:rPr>
      </w:pPr>
      <w:r w:rsidRPr="00270360">
        <w:rPr>
          <w:b/>
          <w:bCs/>
        </w:rPr>
        <w:t>ΣΥΝΟΠΤΙΚΑ ΣΤΟΙΧΕΙΑ ΟΙΚΟΝΟΜΙΚΗΣ ΠΡΟΣΦΟΡΑ</w:t>
      </w:r>
      <w:r w:rsidR="00B21857" w:rsidRPr="00270360">
        <w:rPr>
          <w:b/>
          <w:bCs/>
        </w:rPr>
        <w:t>Σ</w:t>
      </w:r>
    </w:p>
    <w:p w14:paraId="0B636349" w14:textId="77777777" w:rsidR="009A09BD" w:rsidRDefault="009A09BD" w:rsidP="00E76414"/>
    <w:p w14:paraId="23DB54DC" w14:textId="77777777" w:rsidR="000D19AF" w:rsidRPr="004E7B57" w:rsidRDefault="000D19AF" w:rsidP="00E76414"/>
    <w:tbl>
      <w:tblPr>
        <w:tblStyle w:val="TableNormal1"/>
        <w:tblW w:w="9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5366"/>
      </w:tblGrid>
      <w:tr w:rsidR="009655EF" w:rsidRPr="004E7B57" w14:paraId="57DA75C0" w14:textId="77777777" w:rsidTr="009469E3">
        <w:trPr>
          <w:trHeight w:val="279"/>
          <w:jc w:val="center"/>
        </w:trPr>
        <w:tc>
          <w:tcPr>
            <w:tcW w:w="4536" w:type="dxa"/>
          </w:tcPr>
          <w:p w14:paraId="249C28FB" w14:textId="4454C936" w:rsidR="009655EF" w:rsidRPr="004E7B57" w:rsidRDefault="009655EF" w:rsidP="00F1093A">
            <w:pPr>
              <w:pStyle w:val="TableParagraph"/>
              <w:spacing w:line="240" w:lineRule="auto"/>
            </w:pPr>
            <w:r w:rsidRPr="004E7B57">
              <w:t xml:space="preserve"> Μέγιστη Ισχύς Έγχυσης Σ.Α.Η.Ε. (σε </w:t>
            </w:r>
            <w:r w:rsidRPr="004E7B57">
              <w:rPr>
                <w:lang w:val="en-US"/>
              </w:rPr>
              <w:t>MW</w:t>
            </w:r>
            <w:r w:rsidRPr="004E7B57">
              <w:t>)</w:t>
            </w:r>
          </w:p>
        </w:tc>
        <w:tc>
          <w:tcPr>
            <w:tcW w:w="5366" w:type="dxa"/>
          </w:tcPr>
          <w:p w14:paraId="15DCEF71" w14:textId="03B7E6E0" w:rsidR="009655EF" w:rsidRPr="004E7B57" w:rsidRDefault="009655EF" w:rsidP="00F1093A">
            <w:pPr>
              <w:pStyle w:val="TableParagraph"/>
              <w:spacing w:line="240" w:lineRule="auto"/>
            </w:pPr>
            <w:r w:rsidRPr="004E7B57">
              <w:t>Έσοδο Αναφοράς (σε €/</w:t>
            </w:r>
            <w:r w:rsidRPr="004E7B57">
              <w:rPr>
                <w:lang w:val="en-US"/>
              </w:rPr>
              <w:t>MW</w:t>
            </w:r>
            <w:r w:rsidRPr="004E7B57">
              <w:t>/έτος)</w:t>
            </w:r>
          </w:p>
        </w:tc>
      </w:tr>
      <w:tr w:rsidR="009655EF" w:rsidRPr="004E7B57" w14:paraId="6F3A1904" w14:textId="77777777" w:rsidTr="009469E3">
        <w:trPr>
          <w:trHeight w:val="277"/>
          <w:jc w:val="center"/>
        </w:trPr>
        <w:tc>
          <w:tcPr>
            <w:tcW w:w="4536" w:type="dxa"/>
          </w:tcPr>
          <w:p w14:paraId="36ABBC8B" w14:textId="77777777" w:rsidR="009655EF" w:rsidRPr="004E7B57" w:rsidRDefault="009655EF" w:rsidP="00F1093A">
            <w:pPr>
              <w:pStyle w:val="TableParagraph"/>
              <w:spacing w:line="240" w:lineRule="auto"/>
            </w:pPr>
          </w:p>
        </w:tc>
        <w:tc>
          <w:tcPr>
            <w:tcW w:w="5366" w:type="dxa"/>
          </w:tcPr>
          <w:p w14:paraId="756CEFD8" w14:textId="4120D313" w:rsidR="009655EF" w:rsidRPr="004E7B57" w:rsidRDefault="009655EF" w:rsidP="00F1093A">
            <w:pPr>
              <w:pStyle w:val="TableParagraph"/>
              <w:spacing w:line="240" w:lineRule="auto"/>
            </w:pPr>
          </w:p>
        </w:tc>
      </w:tr>
    </w:tbl>
    <w:p w14:paraId="06C043F7" w14:textId="77777777" w:rsidR="009A09BD" w:rsidRPr="004E7B57" w:rsidRDefault="009A09BD" w:rsidP="00E76414"/>
    <w:p w14:paraId="18FC0C69" w14:textId="77777777" w:rsidR="009A09BD" w:rsidRPr="004E7B57" w:rsidRDefault="009A09BD" w:rsidP="00E76414">
      <w:pPr>
        <w:rPr>
          <w:b/>
        </w:rPr>
      </w:pPr>
      <w:r w:rsidRPr="004E7B57">
        <w:t>Όλες οι τιμές αναγράφονται με ακρίβεια 3 δεκαδικών ψηφίων</w:t>
      </w:r>
    </w:p>
    <w:p w14:paraId="1874DC08" w14:textId="77777777" w:rsidR="009A09BD" w:rsidRPr="004E7B57" w:rsidRDefault="009A09BD" w:rsidP="00E76414"/>
    <w:p w14:paraId="5629E81C" w14:textId="77777777" w:rsidR="009A09BD" w:rsidRPr="004E7B57" w:rsidRDefault="009A09BD" w:rsidP="00E76414"/>
    <w:p w14:paraId="20BA65C5" w14:textId="77777777" w:rsidR="009A09BD" w:rsidRPr="004E7B57" w:rsidRDefault="009A09BD" w:rsidP="00E76414"/>
    <w:p w14:paraId="2C55DAE8" w14:textId="77777777" w:rsidR="009A09BD" w:rsidRPr="004E7B57" w:rsidRDefault="009A09BD" w:rsidP="00E76414"/>
    <w:p w14:paraId="74BBCF85" w14:textId="77777777" w:rsidR="009A09BD" w:rsidRPr="004E7B57" w:rsidRDefault="009A09BD" w:rsidP="00E76414"/>
    <w:p w14:paraId="641507F7" w14:textId="77777777" w:rsidR="009A09BD" w:rsidRPr="004E7B57" w:rsidRDefault="009A09BD" w:rsidP="00E76414"/>
    <w:p w14:paraId="15DF893E" w14:textId="77777777" w:rsidR="009A09BD" w:rsidRPr="004E7B57" w:rsidRDefault="009A09BD" w:rsidP="00E76414">
      <w:r w:rsidRPr="004E7B57">
        <w:t>ΒΕΒΑΙΩΣΗ ΓΝΗΣΙΟΥ ΥΠΟΓΡΑΦΗΣ</w:t>
      </w:r>
      <w:r w:rsidRPr="004E7B57">
        <w:tab/>
        <w:t>..............,</w:t>
      </w:r>
      <w:r w:rsidRPr="004E7B57">
        <w:tab/>
        <w:t>20… (</w:t>
      </w:r>
      <w:r w:rsidRPr="004E7B57">
        <w:rPr>
          <w:i/>
        </w:rPr>
        <w:t>τόπος/ ημερομηνία</w:t>
      </w:r>
      <w:r w:rsidRPr="004E7B57">
        <w:t>)</w:t>
      </w:r>
    </w:p>
    <w:p w14:paraId="3BA0C253" w14:textId="77777777" w:rsidR="009A09BD" w:rsidRPr="004E7B57" w:rsidRDefault="009A09BD" w:rsidP="00E76414">
      <w:pPr>
        <w:pStyle w:val="a3"/>
      </w:pPr>
    </w:p>
    <w:p w14:paraId="214BC9D7" w14:textId="77777777" w:rsidR="009A09BD" w:rsidRPr="004E7B57" w:rsidRDefault="009A09BD" w:rsidP="00E76414">
      <w:r w:rsidRPr="004E7B57">
        <w:t>Ο Συμμετέχων/Νόμιμος Εκπρόσωπος του Συμμετέχοντος νομικού προσώπου</w:t>
      </w:r>
    </w:p>
    <w:p w14:paraId="738AEEDB" w14:textId="77777777" w:rsidR="009A09BD" w:rsidRPr="004E7B57" w:rsidRDefault="009A09BD" w:rsidP="00E76414">
      <w:pPr>
        <w:pStyle w:val="a3"/>
      </w:pPr>
    </w:p>
    <w:p w14:paraId="33FA38C7" w14:textId="77777777" w:rsidR="009A09BD" w:rsidRPr="004E7B57" w:rsidRDefault="009A09BD" w:rsidP="00E76414">
      <w:pPr>
        <w:pStyle w:val="a3"/>
      </w:pPr>
      <w:r w:rsidRPr="004E7B57">
        <w:rPr>
          <w:noProof/>
        </w:rPr>
        <mc:AlternateContent>
          <mc:Choice Requires="wps">
            <w:drawing>
              <wp:anchor distT="0" distB="0" distL="0" distR="0" simplePos="0" relativeHeight="487613952" behindDoc="1" locked="0" layoutInCell="1" allowOverlap="1" wp14:anchorId="1ECF01B8" wp14:editId="0681BBC0">
                <wp:simplePos x="0" y="0"/>
                <wp:positionH relativeFrom="page">
                  <wp:posOffset>5050790</wp:posOffset>
                </wp:positionH>
                <wp:positionV relativeFrom="paragraph">
                  <wp:posOffset>229870</wp:posOffset>
                </wp:positionV>
                <wp:extent cx="1731645" cy="1270"/>
                <wp:effectExtent l="0" t="0" r="0" b="0"/>
                <wp:wrapTopAndBottom/>
                <wp:docPr id="150128237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1645" cy="1270"/>
                        </a:xfrm>
                        <a:custGeom>
                          <a:avLst/>
                          <a:gdLst>
                            <a:gd name="T0" fmla="+- 0 7954 7954"/>
                            <a:gd name="T1" fmla="*/ T0 w 2727"/>
                            <a:gd name="T2" fmla="+- 0 10680 7954"/>
                            <a:gd name="T3" fmla="*/ T2 w 2727"/>
                          </a:gdLst>
                          <a:ahLst/>
                          <a:cxnLst>
                            <a:cxn ang="0">
                              <a:pos x="T1" y="0"/>
                            </a:cxn>
                            <a:cxn ang="0">
                              <a:pos x="T3" y="0"/>
                            </a:cxn>
                          </a:cxnLst>
                          <a:rect l="0" t="0" r="r" b="b"/>
                          <a:pathLst>
                            <a:path w="2727">
                              <a:moveTo>
                                <a:pt x="0" y="0"/>
                              </a:moveTo>
                              <a:lnTo>
                                <a:pt x="2726"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FA578E" id="Freeform 21" o:spid="_x0000_s1026" style="position:absolute;margin-left:397.7pt;margin-top:18.1pt;width:136.35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" path="m,l2726,e" filled="f" strokeweight=".36pt">
                <v:path arrowok="t" o:connecttype="custom" o:connectlocs="0,0;1731010,0" o:connectangles="0,0"/>
                <w10:wrap type="topAndBottom" anchorx="page"/>
              </v:shape>
            </w:pict>
          </mc:Fallback>
        </mc:AlternateContent>
      </w:r>
    </w:p>
    <w:p w14:paraId="2160EF74" w14:textId="0CD5938D" w:rsidR="009A09BD" w:rsidRPr="004E7B57" w:rsidRDefault="00C34FA4" w:rsidP="00E76414">
      <w:r>
        <w:tab/>
      </w:r>
      <w:r>
        <w:tab/>
      </w:r>
      <w:r>
        <w:tab/>
      </w:r>
      <w:r>
        <w:tab/>
      </w:r>
      <w:r>
        <w:tab/>
      </w:r>
      <w:r>
        <w:tab/>
      </w:r>
      <w:r>
        <w:tab/>
      </w:r>
      <w:r>
        <w:tab/>
      </w:r>
      <w:r>
        <w:tab/>
      </w:r>
      <w:r w:rsidR="009A09BD" w:rsidRPr="004E7B57">
        <w:t>Ονοματεπώνυμο /Υπογραφή / Σφραγίδα</w:t>
      </w:r>
    </w:p>
    <w:p w14:paraId="38A884C5" w14:textId="0390EC58" w:rsidR="009A09BD" w:rsidRPr="004E7B57" w:rsidRDefault="009A09BD" w:rsidP="00E76414">
      <w:r w:rsidRPr="004E7B57">
        <w:br w:type="page"/>
      </w:r>
    </w:p>
    <w:p w14:paraId="57AEA0ED" w14:textId="77777777" w:rsidR="003D7283" w:rsidRPr="004E7B57" w:rsidRDefault="003D7283" w:rsidP="00E76414"/>
    <w:p w14:paraId="64978B41" w14:textId="4A67219D" w:rsidR="000546D5" w:rsidRPr="00270360" w:rsidRDefault="00856EDC" w:rsidP="00270360">
      <w:pPr>
        <w:jc w:val="center"/>
        <w:rPr>
          <w:b/>
          <w:bCs/>
        </w:rPr>
      </w:pPr>
      <w:r w:rsidRPr="00270360">
        <w:rPr>
          <w:b/>
          <w:bCs/>
        </w:rPr>
        <w:t>ΠΑΡΑΡΤΗΜΑ Γ</w:t>
      </w:r>
    </w:p>
    <w:p w14:paraId="0564FEB3" w14:textId="77777777" w:rsidR="000D19AF" w:rsidRPr="00270360" w:rsidRDefault="000D19AF" w:rsidP="00270360">
      <w:pPr>
        <w:jc w:val="center"/>
        <w:rPr>
          <w:b/>
          <w:bCs/>
        </w:rPr>
      </w:pPr>
    </w:p>
    <w:p w14:paraId="24C627D6" w14:textId="060895F7" w:rsidR="000546D5" w:rsidRPr="00270360" w:rsidRDefault="00856EDC" w:rsidP="00270360">
      <w:pPr>
        <w:jc w:val="center"/>
        <w:rPr>
          <w:b/>
          <w:bCs/>
        </w:rPr>
      </w:pPr>
      <w:r w:rsidRPr="00270360">
        <w:rPr>
          <w:b/>
          <w:bCs/>
        </w:rPr>
        <w:t>Υπόδειγμα απόφασης οργάνου διοίκησης Συμμετέχοντος νομικού προσώπου</w:t>
      </w:r>
    </w:p>
    <w:p w14:paraId="31B5AE68" w14:textId="30CA0331" w:rsidR="00DD0D87" w:rsidRPr="00270360" w:rsidRDefault="00DD0D87" w:rsidP="00270360">
      <w:pPr>
        <w:jc w:val="center"/>
      </w:pPr>
      <w:r w:rsidRPr="00270360">
        <w:t>(παρ. 11.2.3. της Προκήρυξης)</w:t>
      </w:r>
    </w:p>
    <w:p w14:paraId="60F313CF" w14:textId="77777777" w:rsidR="000546D5" w:rsidRPr="004E7B57" w:rsidRDefault="000546D5" w:rsidP="00E76414">
      <w:pPr>
        <w:pStyle w:val="a3"/>
      </w:pPr>
    </w:p>
    <w:p w14:paraId="684BC895" w14:textId="77777777" w:rsidR="000546D5" w:rsidRPr="004E7B57" w:rsidRDefault="000546D5" w:rsidP="00E76414">
      <w:pPr>
        <w:pStyle w:val="a3"/>
      </w:pPr>
    </w:p>
    <w:p w14:paraId="3E5AFAE8" w14:textId="6C8C9F31" w:rsidR="000546D5" w:rsidRPr="004E7B57" w:rsidRDefault="00856EDC" w:rsidP="00F1093A">
      <w:r w:rsidRPr="00F1093A">
        <w:rPr>
          <w:b/>
          <w:bCs/>
        </w:rPr>
        <w:t>Θέμα:</w:t>
      </w:r>
      <w:r w:rsidRPr="004E7B57">
        <w:t xml:space="preserve"> Έγκριση συμμετοχής της εταιρείας/Ν.Π.Δ.Δ./Ν.Π.Ι.Δ./συνεταιρισμού/Ενεργειακής Κοινότητας</w:t>
      </w:r>
      <w:r w:rsidR="006B5D75" w:rsidRPr="004E7B57">
        <w:t>/ / Κοινότητας Ανανεώσιμης Ενέργειας/ Ενεργειακής Κοινότητα Πολιτών</w:t>
      </w:r>
      <w:r w:rsidRPr="004E7B57">
        <w:t xml:space="preserve"> στην Ανταγωνιστική Διαδικασία υποβολής προσφορών της </w:t>
      </w:r>
      <w:r w:rsidR="00CF21E9" w:rsidRPr="004E7B57">
        <w:t>Ρ.Α.Α.Ε.Υ.</w:t>
      </w:r>
      <w:r w:rsidRPr="004E7B57">
        <w:t xml:space="preserve"> για </w:t>
      </w:r>
      <w:r w:rsidR="00FC6ABD" w:rsidRPr="004E7B57">
        <w:t xml:space="preserve">τη χορήγηση επενδυτικής και λειτουργικής ενίσχυσης σε σταθμούς αποθήκευσης ηλεκτρικής ενέργειας, σύμφωνα με την </w:t>
      </w:r>
      <w:proofErr w:type="spellStart"/>
      <w:r w:rsidR="00FC6ABD" w:rsidRPr="004E7B57">
        <w:t>υποπαρ</w:t>
      </w:r>
      <w:proofErr w:type="spellEnd"/>
      <w:r w:rsidR="00FC6ABD" w:rsidRPr="004E7B57">
        <w:t>. 2α της παρ. 2 του άρθρου 143στ του ν. 4001/2011 (Α’ 179)</w:t>
      </w:r>
      <w:r w:rsidRPr="004E7B57">
        <w:t xml:space="preserve">- Ορισμός </w:t>
      </w:r>
      <w:proofErr w:type="spellStart"/>
      <w:r w:rsidRPr="004E7B57">
        <w:t>νομίμου</w:t>
      </w:r>
      <w:proofErr w:type="spellEnd"/>
      <w:r w:rsidRPr="004E7B57">
        <w:t xml:space="preserve"> εκπροσώπου για τη συμμετοχή στην Ανταγωνιστική Διαδικασία</w:t>
      </w:r>
      <w:r w:rsidR="00E74B3F" w:rsidRPr="004E7B57">
        <w:t>.</w:t>
      </w:r>
    </w:p>
    <w:p w14:paraId="43587D02" w14:textId="77777777" w:rsidR="000546D5" w:rsidRPr="004E7B57" w:rsidRDefault="000546D5" w:rsidP="00E76414">
      <w:pPr>
        <w:pStyle w:val="a3"/>
      </w:pPr>
    </w:p>
    <w:p w14:paraId="410CCDAF" w14:textId="77777777" w:rsidR="0002022C" w:rsidRPr="004E7B57" w:rsidRDefault="00856EDC" w:rsidP="00E76414">
      <w:r w:rsidRPr="004E7B57">
        <w:t xml:space="preserve">(σε περίπτωση ΑΕ) </w:t>
      </w:r>
    </w:p>
    <w:p w14:paraId="34C090B1" w14:textId="75596F88" w:rsidR="000546D5" w:rsidRPr="004E7B57" w:rsidRDefault="00856EDC" w:rsidP="00E76414">
      <w:r w:rsidRPr="004E7B57">
        <w:t xml:space="preserve">Το Διοικητικό Συμβούλιο εισέρχεται στη συζήτηση αναφορικά με την ανωτέρω Ανταγωνιστική Διαδικασία υποβολής προσφορών της </w:t>
      </w:r>
      <w:r w:rsidR="00CF21E9" w:rsidRPr="004E7B57">
        <w:t>Ρ.Α.Α.Ε.Υ.</w:t>
      </w:r>
      <w:r w:rsidRPr="004E7B57">
        <w:t xml:space="preserve">, σύμφωνα με την </w:t>
      </w:r>
      <w:proofErr w:type="spellStart"/>
      <w:r w:rsidR="00E74B3F" w:rsidRPr="004E7B57">
        <w:t>υποπαρ</w:t>
      </w:r>
      <w:proofErr w:type="spellEnd"/>
      <w:r w:rsidR="00E74B3F" w:rsidRPr="004E7B57">
        <w:t xml:space="preserve">. 2α της παρ. 2 του άρθρου 143στ του ν. 4001/2011 (Α’ 179) </w:t>
      </w:r>
      <w:r w:rsidRPr="004E7B57">
        <w:t xml:space="preserve">και έχοντας λάβει γνώση των όρων της υπ’ αριθ. </w:t>
      </w:r>
      <w:r w:rsidR="00252B53">
        <w:t>1</w:t>
      </w:r>
      <w:r w:rsidRPr="004E7B57">
        <w:t>/202</w:t>
      </w:r>
      <w:r w:rsidR="003E6EB7" w:rsidRPr="004E7B57">
        <w:t>3</w:t>
      </w:r>
      <w:r w:rsidRPr="004E7B57">
        <w:t xml:space="preserve"> Προκήρυξης της </w:t>
      </w:r>
      <w:r w:rsidR="00CF21E9" w:rsidRPr="004E7B57">
        <w:t>Ρ.Α.Α.Ε.Υ.</w:t>
      </w:r>
      <w:r w:rsidRPr="004E7B57">
        <w:t xml:space="preserve"> (απόφαση </w:t>
      </w:r>
      <w:r w:rsidR="00CF21E9" w:rsidRPr="004E7B57">
        <w:t>Ρ.Α.Α.Ε.Υ.</w:t>
      </w:r>
      <w:r w:rsidRPr="004E7B57">
        <w:t xml:space="preserve"> υπ’ αριθ. </w:t>
      </w:r>
      <w:r w:rsidR="003E6EB7" w:rsidRPr="004E7B57">
        <w:t>………..</w:t>
      </w:r>
      <w:r w:rsidRPr="004E7B57">
        <w:t xml:space="preserve">) για </w:t>
      </w:r>
      <w:r w:rsidR="00E74B3F" w:rsidRPr="004E7B57">
        <w:t xml:space="preserve">τη χορήγηση επενδυτικής και λειτουργικής ενίσχυσης </w:t>
      </w:r>
      <w:r w:rsidR="0002022C" w:rsidRPr="004E7B57">
        <w:t>σε σταθμούς αποθήκευσης ηλεκτρικής ενέργειας (</w:t>
      </w:r>
      <w:r w:rsidRPr="004E7B57">
        <w:t>εφεξής και η «</w:t>
      </w:r>
      <w:r w:rsidRPr="004E7B57">
        <w:rPr>
          <w:i/>
        </w:rPr>
        <w:t>Προκήρυξη</w:t>
      </w:r>
      <w:r w:rsidRPr="004E7B57">
        <w:t>»), τους οποίους (όρους) αποδέχεται στο σύνολό τους, ομόφωνα αποφασίζει και εγκρίνει:</w:t>
      </w:r>
    </w:p>
    <w:p w14:paraId="5A7B9D68" w14:textId="77777777" w:rsidR="000546D5" w:rsidRPr="004E7B57" w:rsidRDefault="00856EDC" w:rsidP="00E76414">
      <w:r w:rsidRPr="004E7B57">
        <w:t>ή</w:t>
      </w:r>
    </w:p>
    <w:p w14:paraId="319483FA" w14:textId="77777777" w:rsidR="0002022C" w:rsidRPr="004E7B57" w:rsidRDefault="00856EDC" w:rsidP="00E76414">
      <w:r w:rsidRPr="004E7B57">
        <w:t xml:space="preserve">(σε περίπτωση ΟΕ, ΕΕ, ΕΠΕ και ΙΚΕ) </w:t>
      </w:r>
    </w:p>
    <w:p w14:paraId="53528715" w14:textId="0465F467" w:rsidR="000546D5" w:rsidRPr="004E7B57" w:rsidRDefault="00856EDC" w:rsidP="00E76414">
      <w:r w:rsidRPr="004E7B57">
        <w:t>Ο παριστάμενος/παριστάμενοι Διαχειριστές εισέρχεται/</w:t>
      </w:r>
      <w:proofErr w:type="spellStart"/>
      <w:r w:rsidRPr="004E7B57">
        <w:t>ονται</w:t>
      </w:r>
      <w:proofErr w:type="spellEnd"/>
      <w:r w:rsidRPr="004E7B57">
        <w:t xml:space="preserve"> στη συζήτηση αναφορικά με την ανωτέρω Ανταγωνιστική Διαδικασία υποβολής προσφορών της </w:t>
      </w:r>
      <w:r w:rsidR="00CF21E9" w:rsidRPr="004E7B57">
        <w:t>Ρ.Α.Α.Ε.Υ.</w:t>
      </w:r>
      <w:r w:rsidRPr="004E7B57">
        <w:t>,</w:t>
      </w:r>
      <w:r w:rsidR="0002022C" w:rsidRPr="004E7B57">
        <w:t xml:space="preserve"> σύμφωνα με την παρ. </w:t>
      </w:r>
      <w:r w:rsidR="006B5D75" w:rsidRPr="004E7B57">
        <w:t>4</w:t>
      </w:r>
      <w:r w:rsidR="0002022C" w:rsidRPr="004E7B57">
        <w:t xml:space="preserve"> του άρθρου 143στ του ν. 4001/2011 (Α’ 179) </w:t>
      </w:r>
      <w:r w:rsidRPr="004E7B57">
        <w:t xml:space="preserve">και έχοντας λάβει γνώση των όρων της υπ’ αριθ. </w:t>
      </w:r>
      <w:r w:rsidR="00252B53">
        <w:t xml:space="preserve">1/2023 </w:t>
      </w:r>
      <w:r w:rsidRPr="004E7B57">
        <w:t xml:space="preserve">Προκήρυξης της </w:t>
      </w:r>
      <w:r w:rsidR="00CF21E9" w:rsidRPr="004E7B57">
        <w:t>Ρ.Α.Α.Ε.Υ.</w:t>
      </w:r>
      <w:r w:rsidRPr="004E7B57">
        <w:t xml:space="preserve"> για </w:t>
      </w:r>
      <w:r w:rsidR="0002022C" w:rsidRPr="004E7B57">
        <w:t>τη χορήγηση επενδυτικής και λειτουργικής ενίσχυσης σε σταθμούς αποθήκευσης ηλεκτρικής ενέργειας</w:t>
      </w:r>
      <w:r w:rsidRPr="004E7B57">
        <w:t>, τους οποίους (όρους) αποδέχεται/</w:t>
      </w:r>
      <w:proofErr w:type="spellStart"/>
      <w:r w:rsidRPr="004E7B57">
        <w:t>ονται</w:t>
      </w:r>
      <w:proofErr w:type="spellEnd"/>
      <w:r w:rsidRPr="004E7B57">
        <w:t xml:space="preserve"> στο σύνολό τους, ομόφωνα αποφασίζει/</w:t>
      </w:r>
      <w:proofErr w:type="spellStart"/>
      <w:r w:rsidRPr="004E7B57">
        <w:t>ουν</w:t>
      </w:r>
      <w:proofErr w:type="spellEnd"/>
      <w:r w:rsidRPr="004E7B57">
        <w:t xml:space="preserve"> και εγκρίνει/</w:t>
      </w:r>
      <w:proofErr w:type="spellStart"/>
      <w:r w:rsidRPr="004E7B57">
        <w:t>ουν</w:t>
      </w:r>
      <w:proofErr w:type="spellEnd"/>
      <w:r w:rsidRPr="004E7B57">
        <w:t>:</w:t>
      </w:r>
    </w:p>
    <w:p w14:paraId="2015047A" w14:textId="77777777" w:rsidR="000546D5" w:rsidRPr="004E7B57" w:rsidRDefault="00856EDC" w:rsidP="00E76414">
      <w:r w:rsidRPr="004E7B57">
        <w:t>ή</w:t>
      </w:r>
    </w:p>
    <w:p w14:paraId="6159799C" w14:textId="3423C6A5" w:rsidR="000546D5" w:rsidRPr="004E7B57" w:rsidRDefault="00856EDC" w:rsidP="00E76414">
      <w:r w:rsidRPr="004E7B57">
        <w:t>(σε     περίπτωση     άλλου     νομικού     προσώπου, ΝΠΙΔ, ΝΠΔΔ, Ενεργειακής Κοινότητας</w:t>
      </w:r>
      <w:r w:rsidRPr="004E7B57">
        <w:tab/>
        <w:t>κ.λπ.)</w:t>
      </w:r>
    </w:p>
    <w:p w14:paraId="1FD31FBA" w14:textId="388252C6" w:rsidR="000546D5" w:rsidRPr="004E7B57" w:rsidRDefault="00856EDC" w:rsidP="00E76414">
      <w:r w:rsidRPr="004E7B57">
        <w:t>Ο παριστάμενος/παριστάμενοι Διαχειριστές ή Το Διοικητικό Συμβούλιο ή οι</w:t>
      </w:r>
      <w:r w:rsidRPr="004E7B57">
        <w:tab/>
      </w:r>
      <w:r w:rsidR="0002022C" w:rsidRPr="004E7B57">
        <w:t xml:space="preserve">………… </w:t>
      </w:r>
      <w:r w:rsidRPr="004E7B57">
        <w:t>που αποτελούν το όργανο</w:t>
      </w:r>
      <w:r w:rsidR="0002022C" w:rsidRPr="004E7B57">
        <w:t xml:space="preserve"> </w:t>
      </w:r>
      <w:r w:rsidRPr="004E7B57">
        <w:t>διοίκησης του νομικού προσώπου εισέρχεται/</w:t>
      </w:r>
      <w:proofErr w:type="spellStart"/>
      <w:r w:rsidRPr="004E7B57">
        <w:t>ονται</w:t>
      </w:r>
      <w:proofErr w:type="spellEnd"/>
      <w:r w:rsidRPr="004E7B57">
        <w:t xml:space="preserve"> στη συζήτηση αναφορικά με την ανωτέρω Ανταγωνιστική Διαδικασία υποβολής προσφορών της </w:t>
      </w:r>
      <w:r w:rsidR="00CF21E9" w:rsidRPr="004E7B57">
        <w:t>Ρ.Α.Α.Ε.Υ.</w:t>
      </w:r>
      <w:r w:rsidRPr="004E7B57">
        <w:t xml:space="preserve">, σύμφωνα με </w:t>
      </w:r>
      <w:r w:rsidR="0002022C" w:rsidRPr="004E7B57">
        <w:t xml:space="preserve">την παρ. </w:t>
      </w:r>
      <w:r w:rsidR="006B5D75" w:rsidRPr="004E7B57">
        <w:t>4</w:t>
      </w:r>
      <w:r w:rsidR="0002022C" w:rsidRPr="004E7B57">
        <w:t xml:space="preserve"> του άρθρου 143στ του ν. 4001/2011 (Α’ 179) </w:t>
      </w:r>
      <w:r w:rsidRPr="004E7B57">
        <w:t xml:space="preserve">και έχοντας λάβει γνώση των όρων της υπ’ αριθ. </w:t>
      </w:r>
      <w:r w:rsidR="00252B53">
        <w:t xml:space="preserve">1/2023 </w:t>
      </w:r>
      <w:r w:rsidRPr="004E7B57">
        <w:t xml:space="preserve">Προκήρυξης της </w:t>
      </w:r>
      <w:r w:rsidR="00CF21E9" w:rsidRPr="004E7B57">
        <w:t>Ρ.Α.Α.Ε.Υ.</w:t>
      </w:r>
      <w:r w:rsidRPr="004E7B57">
        <w:t xml:space="preserve"> για</w:t>
      </w:r>
      <w:r w:rsidR="0002022C" w:rsidRPr="004E7B57">
        <w:t xml:space="preserve"> τη χορήγηση επενδυτικής και λειτουργικής ενίσχυσης σε σταθμούς αποθήκευσης ηλεκτρικής ενέργειας </w:t>
      </w:r>
      <w:r w:rsidR="003E6EB7" w:rsidRPr="004E7B57">
        <w:t>…………….</w:t>
      </w:r>
      <w:r w:rsidRPr="004E7B57">
        <w:t>, τους οποίους (όρους) αποδέχεται/</w:t>
      </w:r>
      <w:proofErr w:type="spellStart"/>
      <w:r w:rsidRPr="004E7B57">
        <w:t>ονται</w:t>
      </w:r>
      <w:proofErr w:type="spellEnd"/>
      <w:r w:rsidRPr="004E7B57">
        <w:t xml:space="preserve"> στο σύνολό τους, ομόφωνα αποφασίζει/</w:t>
      </w:r>
      <w:proofErr w:type="spellStart"/>
      <w:r w:rsidRPr="004E7B57">
        <w:t>ουν</w:t>
      </w:r>
      <w:proofErr w:type="spellEnd"/>
      <w:r w:rsidRPr="004E7B57">
        <w:t xml:space="preserve"> και εγκρίνει/</w:t>
      </w:r>
      <w:proofErr w:type="spellStart"/>
      <w:r w:rsidRPr="004E7B57">
        <w:t>ουν</w:t>
      </w:r>
      <w:proofErr w:type="spellEnd"/>
      <w:r w:rsidRPr="004E7B57">
        <w:t>:</w:t>
      </w:r>
    </w:p>
    <w:p w14:paraId="0174D527" w14:textId="77777777" w:rsidR="000546D5" w:rsidRPr="004E7B57" w:rsidRDefault="000546D5" w:rsidP="00E76414">
      <w:pPr>
        <w:pStyle w:val="a3"/>
      </w:pPr>
    </w:p>
    <w:p w14:paraId="7A21DD94" w14:textId="29EDB29C" w:rsidR="000546D5" w:rsidRPr="004E7B57" w:rsidRDefault="00856EDC" w:rsidP="00E76414">
      <w:r w:rsidRPr="004E7B57">
        <w:rPr>
          <w:b/>
        </w:rPr>
        <w:t xml:space="preserve">(α) τη συμμετοχή </w:t>
      </w:r>
      <w:r w:rsidRPr="00270360">
        <w:rPr>
          <w:bCs/>
        </w:rPr>
        <w:t>της εταιρείας/Ν</w:t>
      </w:r>
      <w:r w:rsidRPr="004E7B57">
        <w:t>.Π.Δ.Δ./Ν.Π.Ι.Δ./συνεταιρισμού/Ενεργειακής Κοινότητας</w:t>
      </w:r>
      <w:r w:rsidR="006B5D75" w:rsidRPr="004E7B57">
        <w:t>/ Κοινότητας Ανανεώσιμης Ενέργειας/ Ενεργειακής Κοινότητα Πολιτών</w:t>
      </w:r>
      <w:r w:rsidRPr="004E7B57">
        <w:t xml:space="preserve"> στην ανωτέρω Ανταγωνιστική Διαδικασία υποβολής προσφορών της </w:t>
      </w:r>
      <w:r w:rsidR="00CF21E9" w:rsidRPr="004E7B57">
        <w:t>Ρ.Α.Α.Ε.Υ.</w:t>
      </w:r>
      <w:r w:rsidRPr="004E7B57">
        <w:t>,</w:t>
      </w:r>
      <w:r w:rsidR="0002022C" w:rsidRPr="004E7B57">
        <w:t xml:space="preserve"> </w:t>
      </w:r>
      <w:r w:rsidRPr="004E7B57">
        <w:t>με την υποβολή Αίτησης Συμμετοχής– Υπεύθυνης Δήλωσης, μετά των απαιτούμενων δικαιολογητικών εγγράφων, προσφορ</w:t>
      </w:r>
      <w:r w:rsidR="0002022C" w:rsidRPr="004E7B57">
        <w:t>ών</w:t>
      </w:r>
      <w:r w:rsidRPr="004E7B57">
        <w:t xml:space="preserve"> και στοιχείων κατά τους όρους, προϋποθέσεις και διαδικασίες που ορίζονται στην ανωτέρω Προκήρυξη,</w:t>
      </w:r>
    </w:p>
    <w:p w14:paraId="003E819D" w14:textId="77777777" w:rsidR="000546D5" w:rsidRPr="004E7B57" w:rsidRDefault="000546D5" w:rsidP="00E76414">
      <w:pPr>
        <w:pStyle w:val="a3"/>
      </w:pPr>
    </w:p>
    <w:p w14:paraId="78FF1303" w14:textId="77777777" w:rsidR="000546D5" w:rsidRPr="002E6949" w:rsidRDefault="00856EDC" w:rsidP="00E76414">
      <w:pPr>
        <w:rPr>
          <w:b/>
          <w:bCs/>
        </w:rPr>
      </w:pPr>
      <w:r w:rsidRPr="002E6949">
        <w:rPr>
          <w:b/>
          <w:bCs/>
        </w:rPr>
        <w:t>(β) ορίζει τον/την</w:t>
      </w:r>
    </w:p>
    <w:p w14:paraId="6C895605" w14:textId="77777777" w:rsidR="000546D5" w:rsidRPr="004E7B57" w:rsidRDefault="00856EDC" w:rsidP="00E76414">
      <w:r w:rsidRPr="004E7B57">
        <w:t>Επώνυμο:</w:t>
      </w:r>
      <w:r w:rsidRPr="004E7B57">
        <w:tab/>
        <w:t>……………………………………….…..</w:t>
      </w:r>
    </w:p>
    <w:p w14:paraId="6BB5F6AC" w14:textId="77777777" w:rsidR="000546D5" w:rsidRPr="004E7B57" w:rsidRDefault="00856EDC" w:rsidP="00E76414">
      <w:r w:rsidRPr="004E7B57">
        <w:t>Όνομα:</w:t>
      </w:r>
      <w:r w:rsidRPr="004E7B57">
        <w:tab/>
        <w:t>……………………………………….…..</w:t>
      </w:r>
    </w:p>
    <w:p w14:paraId="3EC5243D" w14:textId="77777777" w:rsidR="000546D5" w:rsidRPr="004E7B57" w:rsidRDefault="00856EDC" w:rsidP="00E76414">
      <w:r w:rsidRPr="004E7B57">
        <w:t>Πατρώνυμο:</w:t>
      </w:r>
      <w:r w:rsidRPr="004E7B57">
        <w:tab/>
        <w:t>……………………………………….…..</w:t>
      </w:r>
    </w:p>
    <w:p w14:paraId="2C0C0676" w14:textId="77777777" w:rsidR="000546D5" w:rsidRPr="004E7B57" w:rsidRDefault="00856EDC" w:rsidP="00E76414">
      <w:r w:rsidRPr="004E7B57">
        <w:t>Κάτοικο:</w:t>
      </w:r>
      <w:r w:rsidRPr="004E7B57">
        <w:tab/>
        <w:t>……………………………………….…..</w:t>
      </w:r>
    </w:p>
    <w:p w14:paraId="6460AF96" w14:textId="77777777" w:rsidR="000546D5" w:rsidRPr="004E7B57" w:rsidRDefault="00856EDC" w:rsidP="00E76414">
      <w:r w:rsidRPr="004E7B57">
        <w:lastRenderedPageBreak/>
        <w:t>Στοιχεία Επικοινωνίας:</w:t>
      </w:r>
    </w:p>
    <w:p w14:paraId="6C3CFBB6" w14:textId="77777777" w:rsidR="000546D5" w:rsidRPr="001A6C8E" w:rsidRDefault="00856EDC" w:rsidP="00E76414">
      <w:proofErr w:type="spellStart"/>
      <w:r w:rsidRPr="004E7B57">
        <w:t>Τηλ</w:t>
      </w:r>
      <w:proofErr w:type="spellEnd"/>
      <w:r w:rsidRPr="001A6C8E">
        <w:t>.:</w:t>
      </w:r>
      <w:r w:rsidRPr="001A6C8E">
        <w:tab/>
        <w:t>……………………………………….…..</w:t>
      </w:r>
    </w:p>
    <w:p w14:paraId="7A91565F" w14:textId="77777777" w:rsidR="000546D5" w:rsidRPr="001A6C8E" w:rsidRDefault="00856EDC" w:rsidP="00E76414">
      <w:r w:rsidRPr="004E7B57">
        <w:t>Κινητό</w:t>
      </w:r>
      <w:r w:rsidRPr="001A6C8E">
        <w:t>:    ……………………………………….…..</w:t>
      </w:r>
    </w:p>
    <w:p w14:paraId="30421F3B" w14:textId="77777777" w:rsidR="000546D5" w:rsidRPr="00E06094" w:rsidRDefault="00856EDC" w:rsidP="00E76414">
      <w:r w:rsidRPr="005E680E">
        <w:rPr>
          <w:lang w:val="pt-PT"/>
        </w:rPr>
        <w:t>E</w:t>
      </w:r>
      <w:r w:rsidRPr="00E06094">
        <w:t>-</w:t>
      </w:r>
      <w:r w:rsidRPr="005E680E">
        <w:rPr>
          <w:lang w:val="pt-PT"/>
        </w:rPr>
        <w:t>mail</w:t>
      </w:r>
      <w:r w:rsidRPr="00E06094">
        <w:t>: ……………………………………….…..</w:t>
      </w:r>
    </w:p>
    <w:p w14:paraId="73B4E61C" w14:textId="77777777" w:rsidR="000546D5" w:rsidRPr="004E7B57" w:rsidRDefault="00856EDC" w:rsidP="00E76414">
      <w:r w:rsidRPr="004E7B57">
        <w:t xml:space="preserve">με ΑΔΤ ......................, A.T. ………………., </w:t>
      </w:r>
      <w:proofErr w:type="spellStart"/>
      <w:r w:rsidRPr="004E7B57">
        <w:t>Ημ</w:t>
      </w:r>
      <w:proofErr w:type="spellEnd"/>
      <w:r w:rsidRPr="004E7B57">
        <w:t>. Έκδοσης: ……………………………</w:t>
      </w:r>
    </w:p>
    <w:p w14:paraId="25EA5A98" w14:textId="45DE391A" w:rsidR="000546D5" w:rsidRPr="004E7B57" w:rsidRDefault="00856EDC" w:rsidP="00E76414">
      <w:r w:rsidRPr="004E7B57">
        <w:rPr>
          <w:b/>
          <w:bCs/>
        </w:rPr>
        <w:t>εκπρόσωπο</w:t>
      </w:r>
      <w:r w:rsidRPr="004E7B57">
        <w:t xml:space="preserve"> </w:t>
      </w:r>
      <w:r w:rsidR="00252B53">
        <w:t xml:space="preserve">(αντίκλητο) </w:t>
      </w:r>
      <w:r w:rsidRPr="004E7B57">
        <w:t>της εταιρείας/Ν.Π.Δ.Δ./Ν.Π.Ι.Δ./συνεταιρισμού/Ενεργειακής Κοινότητας</w:t>
      </w:r>
      <w:r w:rsidR="00370D27" w:rsidRPr="004E7B57">
        <w:t xml:space="preserve">/ Κοινότητας Ανανεώσιμης Ενέργειας/ Ενεργειακής Κοινότητας Πολιτών </w:t>
      </w:r>
      <w:r w:rsidRPr="004E7B57">
        <w:t xml:space="preserve">και παρέχει σε αυτόν την εξουσιοδότηση: (α) να υπογράψει τη σχετική Αίτηση Συμμετοχής </w:t>
      </w:r>
      <w:r w:rsidR="003E6EB7" w:rsidRPr="004E7B57">
        <w:t xml:space="preserve">- </w:t>
      </w:r>
      <w:r w:rsidRPr="004E7B57">
        <w:t xml:space="preserve">Υπεύθυνη Δήλωση και να υποβάλλει </w:t>
      </w:r>
      <w:r w:rsidR="00252B53">
        <w:t xml:space="preserve">τα </w:t>
      </w:r>
      <w:r w:rsidRPr="004E7B57">
        <w:t>απαιτούμεν</w:t>
      </w:r>
      <w:r w:rsidR="00252B53">
        <w:t>α</w:t>
      </w:r>
      <w:r w:rsidRPr="004E7B57">
        <w:t xml:space="preserve"> δικαιολογητικ</w:t>
      </w:r>
      <w:r w:rsidR="00252B53">
        <w:t>ά</w:t>
      </w:r>
      <w:r w:rsidRPr="004E7B57">
        <w:t xml:space="preserve"> </w:t>
      </w:r>
      <w:r w:rsidR="00252B53" w:rsidRPr="004E7B57">
        <w:t>έγγραφ</w:t>
      </w:r>
      <w:r w:rsidR="00252B53">
        <w:t>α</w:t>
      </w:r>
      <w:r w:rsidRPr="004E7B57">
        <w:t xml:space="preserve"> και στοιχεί</w:t>
      </w:r>
      <w:r w:rsidR="00252B53">
        <w:t>α</w:t>
      </w:r>
      <w:r w:rsidR="00B15EC6">
        <w:t>, συμπεριλαμβανομένης της τεχνικής και οικονομικής προσφοράς,</w:t>
      </w:r>
      <w:r w:rsidRPr="004E7B57">
        <w:t xml:space="preserve"> για λογαριασμό της εταιρείας/ </w:t>
      </w:r>
      <w:r w:rsidR="003E6EB7" w:rsidRPr="004E7B57">
        <w:t xml:space="preserve">της </w:t>
      </w:r>
      <w:r w:rsidRPr="004E7B57">
        <w:t>/Ν.Π.Δ.Δ./Ν.Π.Ι.Δ./συνεταιρισμού/ Ενεργειακής Κοινότητας</w:t>
      </w:r>
      <w:r w:rsidR="00370D27" w:rsidRPr="004E7B57">
        <w:t>/ Κοινότητα Ανανεώσιμης Ενέργειας/ Ενεργειακή Κοινότητα Πολιτών</w:t>
      </w:r>
      <w:r w:rsidRPr="004E7B57">
        <w:t>, κατά τους όρους, προϋποθέσεις και διαδικασίες που ορίζονται στην ανωτέρω Προκήρυξη, (β) να υπογράψει για λογαριασμό της εταιρείας/ του Ν.Π.Δ.Δ./Ν.Π.Ι.Δ./συνεταιρισμού/Ενεργειακής Κοινότητας</w:t>
      </w:r>
      <w:r w:rsidR="00370D27" w:rsidRPr="004E7B57">
        <w:t xml:space="preserve">/ </w:t>
      </w:r>
      <w:r w:rsidRPr="004E7B57">
        <w:t xml:space="preserve"> </w:t>
      </w:r>
      <w:r w:rsidR="00370D27" w:rsidRPr="004E7B57">
        <w:t xml:space="preserve">Κοινότητας Ανανεώσιμης Ενέργειας/ Ενεργειακής Κοινότητας Πολιτών </w:t>
      </w:r>
      <w:r w:rsidRPr="004E7B57">
        <w:t>όλα τα σχετικά με την ανωτέρω Ανταγωνιστική Διαδικασία έγγραφα, δικαιολογητικά, δηλώσεις (συμπεριλαμβανομένου του Πίνακα του Παραρτήματος Β1) καθώς και οποιαδήποτε άλλα έγγραφα απαιτηθούν για τη συμμετοχή της εταιρείας/Ν.Π.Δ.Δ./Ν.Π.Ι.Δ./συνεταιρισμού/Ενεργειακής Κοινότητας</w:t>
      </w:r>
      <w:r w:rsidR="00370D27" w:rsidRPr="004E7B57">
        <w:t xml:space="preserve">/ Κοινότητας Ανανεώσιμης Ενέργειας/ Ενεργειακής Κοινότητας Πολιτών </w:t>
      </w:r>
      <w:r w:rsidRPr="004E7B57">
        <w:t xml:space="preserve">στην υπόψη Ανταγωνιστική διαδικασία, όπως επίσης και οποιοδήποτε σχετικό με την Ανταγωνιστική Διαδικασία έγγραφο, σε περίπτωση που κάτι τέτοιο απαιτηθεί σε οποιοδήποτε στάδιο της διαδικασίας και (γ) να καταθέσει στη </w:t>
      </w:r>
      <w:r w:rsidR="00CF21E9" w:rsidRPr="004E7B57">
        <w:t>Ρ.Α.Α.Ε.Υ.</w:t>
      </w:r>
      <w:r w:rsidRPr="004E7B57">
        <w:t xml:space="preserve"> τον κλειστό και σφραγισμένο φάκελο </w:t>
      </w:r>
      <w:r w:rsidR="00B15EC6">
        <w:t>με την Εγγυητική Επιστολή Συμμετοχής σύμφωνα με τα οριζόμενα στην παρ.11.3. της Προκήρυξης</w:t>
      </w:r>
      <w:r w:rsidRPr="004E7B57">
        <w:t>,</w:t>
      </w:r>
      <w:r w:rsidR="00B15EC6">
        <w:t xml:space="preserve"> </w:t>
      </w:r>
      <w:r w:rsidRPr="004E7B57">
        <w:t>της Προκήρυξης.</w:t>
      </w:r>
    </w:p>
    <w:p w14:paraId="2AEFB675" w14:textId="77777777" w:rsidR="000546D5" w:rsidRPr="004E7B57" w:rsidRDefault="00856EDC" w:rsidP="00E76414">
      <w:r w:rsidRPr="004E7B57">
        <w:t>Επίσης ομόφωνα αποφασίζει/</w:t>
      </w:r>
      <w:proofErr w:type="spellStart"/>
      <w:r w:rsidRPr="004E7B57">
        <w:t>ουν</w:t>
      </w:r>
      <w:proofErr w:type="spellEnd"/>
      <w:r w:rsidRPr="004E7B57">
        <w:t xml:space="preserve"> και εγκρίνει/</w:t>
      </w:r>
      <w:proofErr w:type="spellStart"/>
      <w:r w:rsidRPr="004E7B57">
        <w:t>ουν</w:t>
      </w:r>
      <w:proofErr w:type="spellEnd"/>
      <w:r w:rsidRPr="004E7B57">
        <w:t xml:space="preserve"> και δηλώνει/</w:t>
      </w:r>
      <w:proofErr w:type="spellStart"/>
      <w:r w:rsidRPr="004E7B57">
        <w:t>ουν</w:t>
      </w:r>
      <w:proofErr w:type="spellEnd"/>
      <w:r w:rsidRPr="004E7B57">
        <w:t xml:space="preserve"> ότι:</w:t>
      </w:r>
    </w:p>
    <w:p w14:paraId="6FEA9128" w14:textId="00C57EA9" w:rsidR="000546D5" w:rsidRPr="004E7B57" w:rsidRDefault="00856EDC" w:rsidP="00E76414">
      <w:r w:rsidRPr="004E7B57">
        <w:t>Η διεύθυνση ηλεκτρονικού ταχυδρομείου (e-</w:t>
      </w:r>
      <w:proofErr w:type="spellStart"/>
      <w:r w:rsidRPr="004E7B57">
        <w:t>mail</w:t>
      </w:r>
      <w:proofErr w:type="spellEnd"/>
      <w:r w:rsidRPr="004E7B57">
        <w:t xml:space="preserve">), </w:t>
      </w:r>
      <w:r w:rsidR="00B15EC6">
        <w:t>την οποία η εταιρεία/</w:t>
      </w:r>
      <w:r w:rsidR="00B15EC6" w:rsidRPr="006F14A1">
        <w:t>Ν.Π.Δ.Δ./Ν.Π.Ι.Δ./συνεταιρισμ</w:t>
      </w:r>
      <w:r w:rsidR="00B15EC6">
        <w:t>ός</w:t>
      </w:r>
      <w:r w:rsidR="00B15EC6" w:rsidRPr="006F14A1">
        <w:t xml:space="preserve">/ Ενεργειακή Κοινότητα/ Κοινότητα Ανανεώσιμης Ενέργειας/ Ενεργειακή Κοινότητα Πολιτών </w:t>
      </w:r>
      <w:r w:rsidR="00B15EC6">
        <w:t>δηλώνει στην Ηλεκτρονική Εφαρμογή της Ανταγωνιστικής Διαδικασίας και</w:t>
      </w:r>
      <w:r w:rsidR="00B15EC6" w:rsidRPr="006F14A1">
        <w:t xml:space="preserve"> </w:t>
      </w:r>
      <w:r w:rsidR="00B15EC6" w:rsidRPr="004E7B57">
        <w:t xml:space="preserve"> </w:t>
      </w:r>
      <w:r w:rsidRPr="004E7B57">
        <w:t xml:space="preserve">η οποία αποτελεί την ηλεκτρονική διεύθυνση για την υποβολή ερωτημάτων / αιτημάτων παροχής διευκρινίσεων από τη </w:t>
      </w:r>
      <w:r w:rsidR="00CF21E9" w:rsidRPr="004E7B57">
        <w:t>Ρ.Α.Α.Ε.Υ.</w:t>
      </w:r>
      <w:r w:rsidRPr="004E7B57">
        <w:t>, ενστάσεων, διευκρινιστικών στοιχείων, απόψεων κ.λπ. από την εταιρεία / το Ν.Π.Δ.Δ./Ν.Π.Ι.Δ./ συνεταιρισμό / Ενεργειακή Κοινότητα</w:t>
      </w:r>
      <w:r w:rsidR="006B5D75" w:rsidRPr="004E7B57">
        <w:t>/ Κοινότητα Ανανεώσιμης Ενέργειας/ Ενεργειακή Κοινότητα Πολιτών</w:t>
      </w:r>
      <w:r w:rsidRPr="004E7B57">
        <w:t xml:space="preserve">, για την ενημέρωση και για την εν γένει επικοινωνία του ανωτέρω νομικού προσώπου - Συμμετέχοντος με τη </w:t>
      </w:r>
      <w:r w:rsidR="00CF21E9" w:rsidRPr="004E7B57">
        <w:t>Ρ.Α.Α.Ε.Υ.</w:t>
      </w:r>
      <w:r w:rsidRPr="004E7B57">
        <w:t xml:space="preserve"> καθ' όλο το διάστημα διενέργειας της Ανταγωνιστικής Διαδικασίας, κατά τους όρους, προϋποθέσεις και διαδικασίες που ορίζονται στην ανωτέρω Προκήρυξη, είναι η …...............@...........</w:t>
      </w:r>
    </w:p>
    <w:p w14:paraId="2D0D397C" w14:textId="77777777" w:rsidR="000546D5" w:rsidRPr="004E7B57" w:rsidRDefault="000546D5" w:rsidP="00E76414"/>
    <w:p w14:paraId="45F214D7" w14:textId="77777777" w:rsidR="00B678CB" w:rsidRPr="00E06094" w:rsidRDefault="00B678CB" w:rsidP="00E76414"/>
    <w:p w14:paraId="4B8BE9A3" w14:textId="045D0AE8" w:rsidR="00DF687F" w:rsidRPr="004E7B57" w:rsidRDefault="00DF687F" w:rsidP="00E76414">
      <w:r w:rsidRPr="004E7B57">
        <w:br w:type="page"/>
      </w:r>
    </w:p>
    <w:p w14:paraId="16E56A23" w14:textId="20F16556" w:rsidR="000546D5" w:rsidRPr="00270360" w:rsidRDefault="00856EDC" w:rsidP="00270360">
      <w:pPr>
        <w:jc w:val="center"/>
        <w:rPr>
          <w:b/>
          <w:bCs/>
        </w:rPr>
      </w:pPr>
      <w:r w:rsidRPr="00270360">
        <w:rPr>
          <w:b/>
          <w:bCs/>
        </w:rPr>
        <w:lastRenderedPageBreak/>
        <w:t>ΠΑΡΑΡΤΗΜΑ Δ</w:t>
      </w:r>
    </w:p>
    <w:p w14:paraId="0FA58DE4" w14:textId="5498EE68" w:rsidR="003E6EB7" w:rsidRPr="00270360" w:rsidRDefault="00856EDC" w:rsidP="00270360">
      <w:pPr>
        <w:jc w:val="center"/>
        <w:rPr>
          <w:b/>
          <w:bCs/>
        </w:rPr>
      </w:pPr>
      <w:r w:rsidRPr="00270360">
        <w:rPr>
          <w:b/>
          <w:bCs/>
        </w:rPr>
        <w:t>Υπόδειγμα Εγγυητικής Επιστολής Συμμετοχής</w:t>
      </w:r>
    </w:p>
    <w:p w14:paraId="7A257397" w14:textId="0E9CBD0C" w:rsidR="000546D5" w:rsidRPr="00270360" w:rsidRDefault="00856EDC" w:rsidP="00270360">
      <w:pPr>
        <w:jc w:val="center"/>
      </w:pPr>
      <w:r w:rsidRPr="00270360">
        <w:t xml:space="preserve">(παρ. </w:t>
      </w:r>
      <w:r w:rsidR="00DD0D87" w:rsidRPr="00270360">
        <w:t>11.3.</w:t>
      </w:r>
      <w:r w:rsidR="00595D45" w:rsidRPr="00270360">
        <w:t>1</w:t>
      </w:r>
      <w:r w:rsidR="00DD0D87" w:rsidRPr="00270360">
        <w:t xml:space="preserve"> </w:t>
      </w:r>
      <w:r w:rsidR="003E6EB7" w:rsidRPr="00270360">
        <w:t xml:space="preserve">της </w:t>
      </w:r>
      <w:r w:rsidRPr="00270360">
        <w:t>Προκήρυξης)</w:t>
      </w:r>
    </w:p>
    <w:p w14:paraId="09D04E83" w14:textId="77777777" w:rsidR="000546D5" w:rsidRPr="004E7B57" w:rsidRDefault="000546D5" w:rsidP="00E76414">
      <w:pPr>
        <w:pStyle w:val="a3"/>
      </w:pPr>
    </w:p>
    <w:p w14:paraId="1760A560" w14:textId="77777777" w:rsidR="000546D5" w:rsidRPr="004E7B57" w:rsidRDefault="00856EDC" w:rsidP="00E76414">
      <w:pPr>
        <w:pStyle w:val="a3"/>
      </w:pPr>
      <w:r w:rsidRPr="004E7B57">
        <w:t>........................................</w:t>
      </w:r>
      <w:r w:rsidRPr="00F1093A">
        <w:rPr>
          <w:b/>
          <w:bCs/>
        </w:rPr>
        <w:t>ΕΠΩΝΥΜΙΑ ΤΡΑΠΕΖΑΣ</w:t>
      </w:r>
    </w:p>
    <w:p w14:paraId="71B506AC" w14:textId="77777777" w:rsidR="000546D5" w:rsidRPr="004E7B57" w:rsidRDefault="000546D5" w:rsidP="00E76414">
      <w:pPr>
        <w:pStyle w:val="a3"/>
      </w:pPr>
    </w:p>
    <w:p w14:paraId="48CDFA88" w14:textId="77777777" w:rsidR="000546D5" w:rsidRPr="004E7B57" w:rsidRDefault="00856EDC" w:rsidP="00E76414">
      <w:r w:rsidRPr="004E7B57">
        <w:t>……………………………….</w:t>
      </w:r>
      <w:r w:rsidRPr="004E7B57">
        <w:tab/>
      </w:r>
      <w:r w:rsidRPr="00F1093A">
        <w:rPr>
          <w:b/>
          <w:bCs/>
        </w:rPr>
        <w:t>ΚΑΤΑΣΤΗΜΑ</w:t>
      </w:r>
      <w:r w:rsidRPr="004E7B57">
        <w:t>..................................</w:t>
      </w:r>
    </w:p>
    <w:p w14:paraId="21110B99" w14:textId="77777777" w:rsidR="000546D5" w:rsidRPr="004E7B57" w:rsidRDefault="00856EDC" w:rsidP="00E76414">
      <w:r w:rsidRPr="004E7B57">
        <w:t>(τόπος − ημερομηνία)</w:t>
      </w:r>
    </w:p>
    <w:p w14:paraId="25F6BE68" w14:textId="77777777" w:rsidR="000546D5" w:rsidRPr="004E7B57" w:rsidRDefault="000546D5" w:rsidP="00E76414">
      <w:pPr>
        <w:pStyle w:val="a3"/>
      </w:pPr>
    </w:p>
    <w:p w14:paraId="05F35CBF" w14:textId="79F22675" w:rsidR="000546D5" w:rsidRPr="004E7B57" w:rsidRDefault="00856EDC" w:rsidP="00E76414">
      <w:r w:rsidRPr="004E7B57">
        <w:t xml:space="preserve">Προς: </w:t>
      </w:r>
      <w:r w:rsidRPr="00F1093A">
        <w:rPr>
          <w:b/>
          <w:bCs/>
        </w:rPr>
        <w:t xml:space="preserve">ΤΗΝ ΡΥΘΜΙΣΤΙΚΗ ΑΡΧΗ </w:t>
      </w:r>
      <w:r w:rsidR="00BF1FB3" w:rsidRPr="00F1093A">
        <w:rPr>
          <w:b/>
          <w:bCs/>
        </w:rPr>
        <w:t xml:space="preserve">ΑΠΟΒΛΗΤΩΝ, </w:t>
      </w:r>
      <w:r w:rsidRPr="00F1093A">
        <w:rPr>
          <w:b/>
          <w:bCs/>
        </w:rPr>
        <w:t xml:space="preserve">ΕΝΕΡΓΕΙΑΣ </w:t>
      </w:r>
      <w:r w:rsidR="00BF1FB3" w:rsidRPr="00F1093A">
        <w:rPr>
          <w:b/>
          <w:bCs/>
        </w:rPr>
        <w:t xml:space="preserve">ΚΑΙ ΥΔΑΤΩΝ </w:t>
      </w:r>
      <w:r w:rsidRPr="00F1093A">
        <w:rPr>
          <w:b/>
          <w:bCs/>
        </w:rPr>
        <w:t>(</w:t>
      </w:r>
      <w:r w:rsidR="00CF21E9" w:rsidRPr="00F1093A">
        <w:rPr>
          <w:b/>
          <w:bCs/>
        </w:rPr>
        <w:t>Ρ.Α.Α.Ε.Υ.</w:t>
      </w:r>
      <w:r w:rsidRPr="00F1093A">
        <w:rPr>
          <w:b/>
          <w:bCs/>
        </w:rPr>
        <w:t>)</w:t>
      </w:r>
    </w:p>
    <w:p w14:paraId="6439D15E" w14:textId="77777777" w:rsidR="000546D5" w:rsidRPr="004E7B57" w:rsidRDefault="000546D5" w:rsidP="00E76414">
      <w:pPr>
        <w:pStyle w:val="a3"/>
      </w:pPr>
    </w:p>
    <w:p w14:paraId="1921F604" w14:textId="13EB3DCE" w:rsidR="000546D5" w:rsidRPr="00F1093A" w:rsidRDefault="00856EDC" w:rsidP="00E76414">
      <w:pPr>
        <w:rPr>
          <w:b/>
          <w:bCs/>
        </w:rPr>
      </w:pPr>
      <w:r w:rsidRPr="00F1093A">
        <w:rPr>
          <w:b/>
          <w:bCs/>
        </w:rPr>
        <w:t>ΕΓΓΥΗΤΙΚΗ ΕΠΙΣΤΟΛΗ ΑΡΙΘ</w:t>
      </w:r>
      <w:r w:rsidRPr="00F1093A">
        <w:rPr>
          <w:b/>
          <w:bCs/>
        </w:rPr>
        <w:tab/>
        <w:t xml:space="preserve">ΓΙΑ ΕΥΡΩ </w:t>
      </w:r>
      <w:r w:rsidR="00DF687F" w:rsidRPr="00F1093A">
        <w:rPr>
          <w:b/>
          <w:bCs/>
        </w:rPr>
        <w:t>…</w:t>
      </w:r>
      <w:r w:rsidRPr="00F1093A">
        <w:rPr>
          <w:b/>
          <w:bCs/>
        </w:rPr>
        <w:t xml:space="preserve"> (€ </w:t>
      </w:r>
      <w:r w:rsidR="00DF687F" w:rsidRPr="00F1093A">
        <w:rPr>
          <w:b/>
          <w:bCs/>
        </w:rPr>
        <w:t>…</w:t>
      </w:r>
      <w:r w:rsidRPr="00F1093A">
        <w:rPr>
          <w:b/>
          <w:bCs/>
        </w:rPr>
        <w:t>)</w:t>
      </w:r>
    </w:p>
    <w:p w14:paraId="46E7BC63" w14:textId="77777777" w:rsidR="000546D5" w:rsidRPr="004E7B57" w:rsidRDefault="000546D5" w:rsidP="00E76414">
      <w:pPr>
        <w:pStyle w:val="a3"/>
      </w:pPr>
    </w:p>
    <w:p w14:paraId="40DC817E" w14:textId="05EB44C7" w:rsidR="000546D5" w:rsidRPr="004E7B57" w:rsidRDefault="00856EDC" w:rsidP="00E76414">
      <w:r w:rsidRPr="004E7B57">
        <w:t xml:space="preserve">Με την παρούσα εγγυόμαστε έναντί σας άνευ όρων, ανέκκλητα και ανεπιφύλακτα, </w:t>
      </w:r>
      <w:proofErr w:type="spellStart"/>
      <w:r w:rsidRPr="004E7B57">
        <w:t>ευθυνόμενοι</w:t>
      </w:r>
      <w:proofErr w:type="spellEnd"/>
      <w:r w:rsidRPr="004E7B57">
        <w:t xml:space="preserve"> έναντί σας ως </w:t>
      </w:r>
      <w:proofErr w:type="spellStart"/>
      <w:r w:rsidRPr="004E7B57">
        <w:t>πρωτοφειλέτες</w:t>
      </w:r>
      <w:proofErr w:type="spellEnd"/>
      <w:r w:rsidRPr="004E7B57">
        <w:t xml:space="preserve"> και εις </w:t>
      </w:r>
      <w:proofErr w:type="spellStart"/>
      <w:r w:rsidRPr="004E7B57">
        <w:t>ολόκληρον</w:t>
      </w:r>
      <w:proofErr w:type="spellEnd"/>
      <w:r w:rsidRPr="004E7B57">
        <w:t xml:space="preserve">, παραιτούμενοι από </w:t>
      </w:r>
      <w:proofErr w:type="spellStart"/>
      <w:r w:rsidRPr="004E7B57">
        <w:t>τo</w:t>
      </w:r>
      <w:proofErr w:type="spellEnd"/>
      <w:r w:rsidRPr="004E7B57">
        <w:t xml:space="preserve"> ευεργέτημα της </w:t>
      </w:r>
      <w:proofErr w:type="spellStart"/>
      <w:r w:rsidRPr="004E7B57">
        <w:t>διζήσεως</w:t>
      </w:r>
      <w:proofErr w:type="spellEnd"/>
      <w:r w:rsidRPr="004E7B57">
        <w:t>, καθώς και από κάθε δικαίωμα που προβλέπεται στα άρθρα 851–853, 855, 862−864 και 866−868 του Αστικού Κώδικα, υπέρ της Εταιρείας/ του νομικού προσώπου/ του φυσικού προσώπου με την επωνυμία</w:t>
      </w:r>
      <w:r w:rsidR="0002022C" w:rsidRPr="004E7B57">
        <w:t xml:space="preserve"> </w:t>
      </w:r>
      <w:r w:rsidRPr="004E7B57">
        <w:t>………………………………………………………., (………………………………) με ΑΦΜ ………</w:t>
      </w:r>
      <w:r w:rsidR="0002022C" w:rsidRPr="004E7B57">
        <w:t>…….</w:t>
      </w:r>
      <w:r w:rsidRPr="004E7B57">
        <w:t xml:space="preserve">(και </w:t>
      </w:r>
      <w:proofErr w:type="spellStart"/>
      <w:r w:rsidR="00CC3113">
        <w:t>αρ</w:t>
      </w:r>
      <w:proofErr w:type="spellEnd"/>
      <w:r w:rsidR="00CC3113">
        <w:t>. ΓΕΜΗ</w:t>
      </w:r>
      <w:r w:rsidRPr="004E7B57">
        <w:t>…………………) (</w:t>
      </w:r>
      <w:r w:rsidRPr="004E7B57">
        <w:rPr>
          <w:b/>
        </w:rPr>
        <w:t>εφεξής ο Συμμετέχων</w:t>
      </w:r>
      <w:r w:rsidRPr="004E7B57">
        <w:t>), και μέχρι του ποσού των:</w:t>
      </w:r>
    </w:p>
    <w:p w14:paraId="6660A1FA" w14:textId="127E4291" w:rsidR="000546D5" w:rsidRPr="004E7B57" w:rsidRDefault="00856EDC" w:rsidP="00E76414">
      <w:r w:rsidRPr="004E7B57">
        <w:rPr>
          <w:b/>
        </w:rPr>
        <w:t xml:space="preserve">ΕΥΡΩ </w:t>
      </w:r>
      <w:r w:rsidR="00370D27" w:rsidRPr="004E7B57">
        <w:rPr>
          <w:b/>
        </w:rPr>
        <w:t xml:space="preserve">……. </w:t>
      </w:r>
      <w:r w:rsidRPr="004E7B57">
        <w:rPr>
          <w:b/>
        </w:rPr>
        <w:t xml:space="preserve"> (€ </w:t>
      </w:r>
      <w:r w:rsidR="00370D27" w:rsidRPr="004E7B57">
        <w:rPr>
          <w:b/>
        </w:rPr>
        <w:t>…….</w:t>
      </w:r>
      <w:r w:rsidRPr="004E7B57">
        <w:rPr>
          <w:b/>
        </w:rPr>
        <w:t>)</w:t>
      </w:r>
      <w:r w:rsidRPr="004E7B57">
        <w:t>, στο οποίο και μόνο περιορίζεται η υποχρέωσή μας, για την εξασφάλιση της συμμετοχής του Συμμετέχοντος στην</w:t>
      </w:r>
      <w:r w:rsidR="003E6EB7" w:rsidRPr="004E7B57">
        <w:t xml:space="preserve"> </w:t>
      </w:r>
      <w:r w:rsidRPr="004E7B57">
        <w:t>Ανταγωνιστική Διαδικασία υποβολής Προσφορών για</w:t>
      </w:r>
      <w:r w:rsidR="0002022C" w:rsidRPr="004E7B57">
        <w:t xml:space="preserve"> τη χορήγηση επενδυτικής και λειτουργικής ενίσχυσης σε σταθμούς αποθήκευσης ηλεκτρικής ενέργειας</w:t>
      </w:r>
      <w:r w:rsidR="00CC3113">
        <w:t xml:space="preserve"> (Σ.Α.Η.Ε.)</w:t>
      </w:r>
      <w:r w:rsidR="0002022C" w:rsidRPr="004E7B57">
        <w:t xml:space="preserve">, σύμφωνα με την  παρ. </w:t>
      </w:r>
      <w:r w:rsidR="006B5D75" w:rsidRPr="004E7B57">
        <w:t>4</w:t>
      </w:r>
      <w:r w:rsidR="0002022C" w:rsidRPr="004E7B57">
        <w:t xml:space="preserve"> του άρθρου 143στ του ν. 4001/2011 (Α’ 179)</w:t>
      </w:r>
      <w:r w:rsidRPr="004E7B57">
        <w:t xml:space="preserve">, η οποία διεξάγεται από τη Ρυθμιστική Αρχή </w:t>
      </w:r>
      <w:r w:rsidR="00824C17" w:rsidRPr="004E7B57">
        <w:t xml:space="preserve">Αποβλήτων </w:t>
      </w:r>
      <w:r w:rsidRPr="004E7B57">
        <w:t xml:space="preserve">Ενέργειας </w:t>
      </w:r>
      <w:r w:rsidR="00824C17" w:rsidRPr="004E7B57">
        <w:t xml:space="preserve">και Υδάτων </w:t>
      </w:r>
      <w:r w:rsidRPr="004E7B57">
        <w:t>(«</w:t>
      </w:r>
      <w:r w:rsidR="00CF21E9" w:rsidRPr="004E7B57">
        <w:t>Ρ.Α.Α.Ε.Υ.</w:t>
      </w:r>
      <w:r w:rsidRPr="004E7B57">
        <w:t xml:space="preserve">») σύμφωνα με την υπ’ </w:t>
      </w:r>
      <w:proofErr w:type="spellStart"/>
      <w:r w:rsidRPr="004E7B57">
        <w:t>αριθμ</w:t>
      </w:r>
      <w:proofErr w:type="spellEnd"/>
      <w:r w:rsidRPr="004E7B57">
        <w:t xml:space="preserve">. </w:t>
      </w:r>
      <w:r w:rsidR="003E6EB7" w:rsidRPr="004E7B57">
        <w:t>………….</w:t>
      </w:r>
      <w:r w:rsidRPr="004E7B57">
        <w:rPr>
          <w:b/>
        </w:rPr>
        <w:t xml:space="preserve">απόφασή της </w:t>
      </w:r>
      <w:r w:rsidRPr="004E7B57">
        <w:t xml:space="preserve">και τη σχετική υπ’ </w:t>
      </w:r>
      <w:proofErr w:type="spellStart"/>
      <w:r w:rsidRPr="004E7B57">
        <w:t>αριθμ</w:t>
      </w:r>
      <w:proofErr w:type="spellEnd"/>
      <w:r w:rsidRPr="004E7B57">
        <w:t xml:space="preserve">. </w:t>
      </w:r>
      <w:r w:rsidR="003E6EB7" w:rsidRPr="004E7B57">
        <w:t>…………….</w:t>
      </w:r>
      <w:r w:rsidRPr="004E7B57">
        <w:rPr>
          <w:b/>
        </w:rPr>
        <w:t xml:space="preserve">Προκήρυξη </w:t>
      </w:r>
      <w:r w:rsidRPr="004E7B57">
        <w:t>(εφεξής η «Προκήρυξη» ή «Ανταγωνιστική Διαδικασία») και τη διασφάλιση της καλής και αποτελεσματικής διεξαγωγής της αναφορικά με τη συμμετοχή του Συμμετέχοντος</w:t>
      </w:r>
      <w:r w:rsidR="00CC3113">
        <w:t xml:space="preserve"> στην Ανταγωνιστική Διαδικασία </w:t>
      </w:r>
      <w:r w:rsidR="00CC3113" w:rsidRPr="003A5FD7">
        <w:t>με</w:t>
      </w:r>
      <w:r w:rsidR="00CC3113">
        <w:t xml:space="preserve"> τον Σ</w:t>
      </w:r>
      <w:r w:rsidR="00E167F1">
        <w:t>.</w:t>
      </w:r>
      <w:r w:rsidR="00CC3113">
        <w:t>Α</w:t>
      </w:r>
      <w:r w:rsidR="00E167F1">
        <w:t>.</w:t>
      </w:r>
      <w:r w:rsidR="00CC3113">
        <w:t>Η</w:t>
      </w:r>
      <w:r w:rsidR="00E167F1">
        <w:t>.</w:t>
      </w:r>
      <w:r w:rsidR="00CC3113">
        <w:t>Ε</w:t>
      </w:r>
      <w:r w:rsidR="00E167F1">
        <w:t>.</w:t>
      </w:r>
      <w:r w:rsidR="00CC3113" w:rsidRPr="003A5FD7">
        <w:t xml:space="preserve">, που βρίσκεται στη θέση ......... ...............της Δημοτικής Ενότητας ................. του Δήμου .............. της Περιφερειακής Ενότητας .................. της Περιφέρειας .......................,  </w:t>
      </w:r>
      <w:r w:rsidR="00CC3113">
        <w:t>μέγιστης ισχύος έγχυσης/</w:t>
      </w:r>
      <w:r w:rsidR="00CC3113" w:rsidRPr="003A5FD7">
        <w:t xml:space="preserve"> </w:t>
      </w:r>
      <w:r w:rsidR="00CC3113">
        <w:t>δηλούμενη</w:t>
      </w:r>
      <w:r w:rsidR="00DD0D87">
        <w:t>ς</w:t>
      </w:r>
      <w:r w:rsidR="00CC3113" w:rsidRPr="003A5FD7">
        <w:t xml:space="preserve"> ισχύος </w:t>
      </w:r>
      <w:r w:rsidR="00CC3113">
        <w:t>έγχυσης</w:t>
      </w:r>
      <w:r w:rsidR="00CC3113" w:rsidRPr="003A5FD7">
        <w:t>…………….MW</w:t>
      </w:r>
      <w:r w:rsidR="00CC3113">
        <w:t xml:space="preserve"> και </w:t>
      </w:r>
      <w:r w:rsidR="00DD0D87">
        <w:t>εγγυημένης χωρητικότητας /</w:t>
      </w:r>
      <w:r w:rsidR="00CC3113">
        <w:t>δηλούμενης χωρητικότητας …………………….</w:t>
      </w:r>
      <w:r w:rsidR="00CC3113">
        <w:rPr>
          <w:lang w:val="en-US"/>
        </w:rPr>
        <w:t>MW</w:t>
      </w:r>
      <w:r w:rsidR="00CC3113" w:rsidRPr="003A5FD7">
        <w:t>.</w:t>
      </w:r>
    </w:p>
    <w:p w14:paraId="4EDCFD7A" w14:textId="5654FCA8" w:rsidR="000546D5" w:rsidRPr="004E7B57" w:rsidRDefault="00856EDC" w:rsidP="00E76414">
      <w:r w:rsidRPr="004E7B57">
        <w:t xml:space="preserve">Εάν μας γνωστοποιήσετε ότι ο Συμμετέχων </w:t>
      </w:r>
      <w:proofErr w:type="spellStart"/>
      <w:r w:rsidRPr="004E7B57">
        <w:t>παρέβη</w:t>
      </w:r>
      <w:proofErr w:type="spellEnd"/>
      <w:r w:rsidRPr="004E7B57">
        <w:t xml:space="preserve"> την παραπάνω υποχρέωσή του και ιδίως σε περίπτωση που μας γνωστοποιήσετε ότι δεν προσκόμισε την 1</w:t>
      </w:r>
      <w:r w:rsidRPr="004E7B57">
        <w:rPr>
          <w:vertAlign w:val="superscript"/>
        </w:rPr>
        <w:t>η</w:t>
      </w:r>
      <w:r w:rsidRPr="004E7B57">
        <w:t xml:space="preserve"> </w:t>
      </w:r>
      <w:r w:rsidR="00337D03" w:rsidRPr="004E7B57">
        <w:t xml:space="preserve">Εγγυητική Επιστολή Έντεχνης και Έγκαιρης </w:t>
      </w:r>
      <w:r w:rsidR="00AD22DD" w:rsidRPr="004E7B57">
        <w:t>Εκτέλεσης</w:t>
      </w:r>
      <w:r w:rsidRPr="004E7B57">
        <w:t xml:space="preserve"> ως Επιλεγείς Συμμετέχων, εντός προθεσμίας ενός </w:t>
      </w:r>
      <w:r w:rsidR="00DD0D87">
        <w:t>τριών (3) μηνών</w:t>
      </w:r>
      <w:r w:rsidRPr="004E7B57">
        <w:t xml:space="preserve"> από την έκδοση της απόφασης της </w:t>
      </w:r>
      <w:r w:rsidR="00CF21E9" w:rsidRPr="004E7B57">
        <w:t>Ρ.Α.Α.Ε.Υ.</w:t>
      </w:r>
      <w:r w:rsidRPr="004E7B57">
        <w:t xml:space="preserve"> επί των οριστικών αποτελεσμάτων της Ανταγωνιστικής Διαδικασίας, κατά τα ειδικώς οριζόμενα στις παραγράφους </w:t>
      </w:r>
      <w:r w:rsidR="003E6EB7" w:rsidRPr="004E7B57">
        <w:t>………….</w:t>
      </w:r>
      <w:r w:rsidRPr="004E7B57">
        <w:t xml:space="preserve">της Προκήρυξης, σας δηλώνουμε ότι αναλαμβάνουμε με την παρούσα την υποχρέωση να σας καταβάλουμε, άμα τη </w:t>
      </w:r>
      <w:proofErr w:type="spellStart"/>
      <w:r w:rsidRPr="004E7B57">
        <w:t>λήψει</w:t>
      </w:r>
      <w:proofErr w:type="spellEnd"/>
      <w:r w:rsidRPr="004E7B57">
        <w:t xml:space="preserve"> της πρώτης έγγραφης ζήτησής σας περί κατάπτωσης και χωρίς να εξετάσουμε ή να επαληθεύσουμε το βάσιμο της απαίτησής σας ή να υποβάλουμε οποιαδήποτε αντίρρηση, εντός τριών (3) εργασίμων ημερών, το ποσό της εγγύησης, ολόκληρο ή μέρος αυτού, ελεύθερο και απαλλαγμένο από κάθε απαίτηση, επιβάρυνση ή παρακράτηση, σύμφωνα με τις οδηγίες σας, και μόλις μας το ζητήσετε, χωρίς να απαιτείται για αυτή την πληρωμή οποιαδήποτε εξουσιοδότηση, ενέργεια ή συγκατάθεση εκ μέρους του Συμμετέχοντος και ανεξάρτητα από οποιαδήποτε τυχόν διαφορά, αντίρρηση, ένσταση, επιφύλαξη ή προσφυγή του Συμμετέχοντος ή οποιουδήποτε τρίτου σε διαιτησία ή σε οποιοδήποτε αρμόδιο δικαστήριο.</w:t>
      </w:r>
    </w:p>
    <w:p w14:paraId="0EF50804" w14:textId="74A9FF1C" w:rsidR="000546D5" w:rsidRPr="004E7B57" w:rsidRDefault="00856EDC" w:rsidP="00E76414">
      <w:r w:rsidRPr="004E7B57">
        <w:t xml:space="preserve">Η παρούσα εγγυητική επιστολή </w:t>
      </w:r>
      <w:r w:rsidRPr="004E7B57">
        <w:rPr>
          <w:b/>
        </w:rPr>
        <w:t xml:space="preserve">λήγει σε δώδεκα (12) μήνες </w:t>
      </w:r>
      <w:r w:rsidRPr="004E7B57">
        <w:t xml:space="preserve">από την ημερομηνία έκδοσής της. Η διάρκεια της παρούσας εγγυητικής επιστολής παρατείνεται αυτομάτως σε περίπτωση δικαστικής αναστολής για όσο διάστημα διαρκεί η αναστολή και σε περίπτωση αναβολής με απόφαση της </w:t>
      </w:r>
      <w:r w:rsidR="00CF21E9" w:rsidRPr="004E7B57">
        <w:t>Ρ.Α.Α.Ε.Υ.</w:t>
      </w:r>
      <w:r w:rsidRPr="004E7B57">
        <w:t xml:space="preserve"> της Ανταγωνιστικής Διαδικασίας, για όσο διάστημα απαιτείται για την εκ νέου διενέργειά της.</w:t>
      </w:r>
    </w:p>
    <w:p w14:paraId="068135A9" w14:textId="5516BBBA" w:rsidR="000546D5" w:rsidRPr="004E7B57" w:rsidRDefault="00856EDC" w:rsidP="00595D45">
      <w:r w:rsidRPr="004E7B57">
        <w:t xml:space="preserve">Το σώμα της εγγυητικής επιστολής θα πρέπει να μας επιστραφεί εάν ο Συμμετέχων δεν επιλεγεί μέσω της υπόψη Ανταγωνιστικής Διαδικασίας, καθώς και στις περιπτώσεις που αναφέρονται στην </w:t>
      </w:r>
      <w:r w:rsidRPr="000D19AF">
        <w:t>παράγραφο</w:t>
      </w:r>
      <w:r w:rsidR="003E6EB7" w:rsidRPr="000D19AF">
        <w:t xml:space="preserve"> </w:t>
      </w:r>
      <w:r w:rsidR="00595D45" w:rsidRPr="001949FB">
        <w:t>11.3.1.6</w:t>
      </w:r>
      <w:r w:rsidR="0002022C" w:rsidRPr="004E7B57">
        <w:t xml:space="preserve"> </w:t>
      </w:r>
      <w:r w:rsidRPr="004E7B57">
        <w:t xml:space="preserve">της Προκήρυξης. Άλλως η ανωτέρω εγγυητική επιστολή συμμετοχής καταπίπτει υπέρ της Ρυθμιστικής Αρχής </w:t>
      </w:r>
      <w:r w:rsidRPr="004E7B57">
        <w:lastRenderedPageBreak/>
        <w:t>Ενέργειας (</w:t>
      </w:r>
      <w:r w:rsidR="00CF21E9" w:rsidRPr="004E7B57">
        <w:t>Ρ.Α.Α.Ε.Υ.</w:t>
      </w:r>
      <w:r w:rsidRPr="004E7B57">
        <w:t>)</w:t>
      </w:r>
      <w:r w:rsidR="00595D45">
        <w:t>.</w:t>
      </w:r>
      <w:r w:rsidRPr="004E7B57">
        <w:t xml:space="preserve"> </w:t>
      </w:r>
    </w:p>
    <w:p w14:paraId="48806BE4" w14:textId="012573F4" w:rsidR="000546D5" w:rsidRPr="004E7B57" w:rsidRDefault="00856EDC" w:rsidP="00E76414">
      <w:r w:rsidRPr="004E7B57">
        <w:t>Η υποχρέωσή μας δυνάμει της παρούσας εγγύησης θα παραμείνει σε πλήρη ισχύ και δε θεωρείται ότι</w:t>
      </w:r>
      <w:r w:rsidR="003E6EB7" w:rsidRPr="004E7B57">
        <w:t xml:space="preserve"> </w:t>
      </w:r>
      <w:r w:rsidRPr="004E7B57">
        <w:t xml:space="preserve">απαλλαχτήκαμε αυτής λόγω οποιασδήποτε πράξης, παράλειψης ή γεγονότος το οποίο, ελλείψει της παρούσας διάταξης, θα ήταν δυνατό να οδηγήσει στην ελευθέρωσή μας από τις υποχρεώσεις μας, που απορρέουν από την παρούσα εγγύηση, εν </w:t>
      </w:r>
      <w:proofErr w:type="spellStart"/>
      <w:r w:rsidRPr="004E7B57">
        <w:t>όλω</w:t>
      </w:r>
      <w:proofErr w:type="spellEnd"/>
      <w:r w:rsidRPr="004E7B57">
        <w:t xml:space="preserve"> ή εν μέρει, περιλαμβανομένων ενδεικτικά, και ανεξάρτητα από το αν έχουμε ή έχετε λάβει γνώση των ακολούθων που αφορούν, κατά περίπτωση στον Συμμετέχοντα (υπό την ιδιότητά του ως νομικού ή φυσικού προσώπου): α. πτώχευση, αναγκαστική διαχείριση, λύση και θέση σε εκκαθάριση, διαδικασία συνδιαλλαγής ή εξυγίανσης, β. οποιαδήποτε παράταση, παραίτηση ή ευκολία δοθεί υπέρ του Συμμετέχοντος ή οποιουδήποτε τρίτου, γ. ύπαρξη δικαιώματος συμψηφισμού ή επισχέσεως </w:t>
      </w:r>
      <w:proofErr w:type="spellStart"/>
      <w:r w:rsidRPr="004E7B57">
        <w:t>ερειδόμενου</w:t>
      </w:r>
      <w:proofErr w:type="spellEnd"/>
      <w:r w:rsidRPr="004E7B57">
        <w:t xml:space="preserve"> σε οποιασδήποτε φύσεως απαίτηση του Συμμετέχοντος ή τρίτου εναντίον σας.</w:t>
      </w:r>
    </w:p>
    <w:p w14:paraId="01B7E8C4" w14:textId="77777777" w:rsidR="000546D5" w:rsidRDefault="00856EDC" w:rsidP="00E76414">
      <w:r w:rsidRPr="004E7B57">
        <w:t xml:space="preserve">Η παρούσα εγγύηση και όλα τα σχετικά με αυτήν ζητήματα </w:t>
      </w:r>
      <w:proofErr w:type="spellStart"/>
      <w:r w:rsidRPr="004E7B57">
        <w:t>διέπονται</w:t>
      </w:r>
      <w:proofErr w:type="spellEnd"/>
      <w:r w:rsidRPr="004E7B57">
        <w:t xml:space="preserve"> από το Ελληνικό Δίκαιο και με την παρούσα η Τράπεζά μας αποδέχεται ανέκκλητα την αρμοδιότητα των δικαστηρίων της Αθήνας. Σημειώστε παρακαλούμε, ότι το συνολικό ποσό των Εγγυητικών Επιστολών, που χορήγησε η Τράπεζά μας και είναι σε ισχύ, συμπεριλαμβανομένης και της παρούσας δεν υπερβαίνει το καθορισμένο από την ισχύουσα νομοθεσία για την Τράπεζά μας όριο.</w:t>
      </w:r>
    </w:p>
    <w:p w14:paraId="706FB539" w14:textId="66D5D315" w:rsidR="00DD0D87" w:rsidRPr="005D4AA0" w:rsidRDefault="00DD0D87" w:rsidP="00DD0D87">
      <w:pPr>
        <w:rPr>
          <w:sz w:val="20"/>
        </w:rPr>
      </w:pPr>
      <w:r w:rsidRPr="00DD0D87">
        <w:t xml:space="preserve">Δηλώνουμε, επίσης, ότι αντίγραφο της παρούσας Εγγυητικής Επιστολής θα υποβληθεί, εκτός από τον </w:t>
      </w:r>
      <w:r>
        <w:t>Συμμετέχοντα</w:t>
      </w:r>
      <w:r w:rsidRPr="00DD0D87">
        <w:t>, και απευθείας από εμάς, μέσω ηλεκτρονικού ταχυδρομείου (</w:t>
      </w:r>
      <w:r w:rsidRPr="00DD0D87">
        <w:rPr>
          <w:lang w:val="en-US"/>
        </w:rPr>
        <w:t>e</w:t>
      </w:r>
      <w:r w:rsidRPr="00DD0D87">
        <w:t xml:space="preserve"> – </w:t>
      </w:r>
      <w:r w:rsidRPr="00DD0D87">
        <w:rPr>
          <w:lang w:val="en-US"/>
        </w:rPr>
        <w:t>mail</w:t>
      </w:r>
      <w:r w:rsidRPr="00DD0D87">
        <w:t xml:space="preserve">) στην ηλεκτρονική διεύθυνση </w:t>
      </w:r>
      <w:hyperlink r:id="rId24" w:history="1">
        <w:r w:rsidRPr="00DD0D87">
          <w:rPr>
            <w:rStyle w:val="-"/>
            <w:lang w:val="en-US"/>
          </w:rPr>
          <w:t>guarantee</w:t>
        </w:r>
        <w:r w:rsidRPr="00DD0D87">
          <w:rPr>
            <w:rStyle w:val="-"/>
          </w:rPr>
          <w:t>@</w:t>
        </w:r>
        <w:proofErr w:type="spellStart"/>
        <w:r w:rsidRPr="00DD0D87">
          <w:rPr>
            <w:rStyle w:val="-"/>
            <w:lang w:val="en-US"/>
          </w:rPr>
          <w:t>rae</w:t>
        </w:r>
        <w:proofErr w:type="spellEnd"/>
        <w:r w:rsidRPr="00DD0D87">
          <w:rPr>
            <w:rStyle w:val="-"/>
          </w:rPr>
          <w:t>.</w:t>
        </w:r>
        <w:r w:rsidRPr="00DD0D87">
          <w:rPr>
            <w:rStyle w:val="-"/>
            <w:lang w:val="en-US"/>
          </w:rPr>
          <w:t>gr</w:t>
        </w:r>
      </w:hyperlink>
      <w:r w:rsidRPr="00BD6B9A">
        <w:rPr>
          <w:sz w:val="20"/>
        </w:rPr>
        <w:t>.</w:t>
      </w:r>
    </w:p>
    <w:p w14:paraId="69049908" w14:textId="77777777" w:rsidR="00DD0D87" w:rsidRPr="004E7B57" w:rsidRDefault="00DD0D87" w:rsidP="00E76414"/>
    <w:p w14:paraId="07696001" w14:textId="77777777" w:rsidR="000546D5" w:rsidRPr="004E7B57" w:rsidRDefault="00856EDC" w:rsidP="00E76414">
      <w:r w:rsidRPr="004E7B57">
        <w:t>Σε πίστωση των ανωτέρω η παρούσα εγγύηση υπεγράφη την ………………..</w:t>
      </w:r>
    </w:p>
    <w:p w14:paraId="7094ADB3" w14:textId="77777777" w:rsidR="000546D5" w:rsidRPr="004E7B57" w:rsidRDefault="000546D5" w:rsidP="00E76414">
      <w:pPr>
        <w:pStyle w:val="a3"/>
      </w:pPr>
    </w:p>
    <w:p w14:paraId="12D8AABA" w14:textId="77777777" w:rsidR="000546D5" w:rsidRPr="004E7B57" w:rsidRDefault="00856EDC" w:rsidP="00E76414">
      <w:r w:rsidRPr="004E7B57">
        <w:t>ΥΠΟΓΡΑΦΗ &amp; ΕΠΩΝΥΜΙΑ ΤΡΑΠΕΖΑΣ</w:t>
      </w:r>
    </w:p>
    <w:p w14:paraId="309AEA52" w14:textId="3FC61A61" w:rsidR="00DF687F" w:rsidRPr="004E7B57" w:rsidRDefault="00DF687F" w:rsidP="00E76414">
      <w:r w:rsidRPr="004E7B57">
        <w:br w:type="page"/>
      </w:r>
    </w:p>
    <w:p w14:paraId="0A0F6BB2" w14:textId="472D5176" w:rsidR="000546D5" w:rsidRPr="00B07148" w:rsidRDefault="00856EDC" w:rsidP="00B07148">
      <w:pPr>
        <w:jc w:val="center"/>
        <w:rPr>
          <w:b/>
          <w:bCs/>
        </w:rPr>
      </w:pPr>
      <w:r w:rsidRPr="00B07148">
        <w:rPr>
          <w:b/>
          <w:bCs/>
        </w:rPr>
        <w:lastRenderedPageBreak/>
        <w:t>ΠΑΡΑΡΤΗΜΑ Ε</w:t>
      </w:r>
    </w:p>
    <w:p w14:paraId="35F9D2F9" w14:textId="6FDF2471" w:rsidR="00595D45" w:rsidRPr="00B07148" w:rsidRDefault="00856EDC" w:rsidP="00B07148">
      <w:pPr>
        <w:jc w:val="center"/>
        <w:rPr>
          <w:b/>
          <w:bCs/>
        </w:rPr>
      </w:pPr>
      <w:r w:rsidRPr="00B07148">
        <w:rPr>
          <w:b/>
          <w:bCs/>
        </w:rPr>
        <w:t xml:space="preserve">Ι. Υπόδειγμα </w:t>
      </w:r>
      <w:r w:rsidR="0083070E" w:rsidRPr="00B07148">
        <w:rPr>
          <w:b/>
          <w:bCs/>
        </w:rPr>
        <w:t>Εγ</w:t>
      </w:r>
      <w:r w:rsidRPr="00B07148">
        <w:rPr>
          <w:b/>
          <w:bCs/>
        </w:rPr>
        <w:t xml:space="preserve">γυητικής Επιστολής </w:t>
      </w:r>
      <w:r w:rsidR="0026596F" w:rsidRPr="00B07148">
        <w:rPr>
          <w:b/>
          <w:bCs/>
        </w:rPr>
        <w:t>Έντεχνης και Έγκαιρης</w:t>
      </w:r>
      <w:r w:rsidR="0002022C" w:rsidRPr="00B07148">
        <w:rPr>
          <w:b/>
          <w:bCs/>
        </w:rPr>
        <w:t xml:space="preserve">  Εκτέλεσης</w:t>
      </w:r>
    </w:p>
    <w:p w14:paraId="0CA33FBE" w14:textId="30CB9EED" w:rsidR="000546D5" w:rsidRPr="00B07148" w:rsidRDefault="00856EDC" w:rsidP="00B07148">
      <w:pPr>
        <w:jc w:val="center"/>
      </w:pPr>
      <w:r w:rsidRPr="00B07148">
        <w:t xml:space="preserve">(παρ. </w:t>
      </w:r>
      <w:r w:rsidR="00595D45" w:rsidRPr="00B07148">
        <w:t>11.3.2.</w:t>
      </w:r>
      <w:r w:rsidRPr="00B07148">
        <w:t xml:space="preserve"> </w:t>
      </w:r>
      <w:r w:rsidR="00595D45" w:rsidRPr="00B07148">
        <w:t>τ</w:t>
      </w:r>
      <w:r w:rsidRPr="00B07148">
        <w:t>ης Προκήρυξης)</w:t>
      </w:r>
    </w:p>
    <w:p w14:paraId="45CB6D2B" w14:textId="77777777" w:rsidR="0002022C" w:rsidRPr="004E7B57" w:rsidRDefault="0002022C" w:rsidP="00E76414"/>
    <w:p w14:paraId="6DD118B6" w14:textId="3497FCD6" w:rsidR="000546D5" w:rsidRPr="00F1093A" w:rsidRDefault="00856EDC" w:rsidP="00E76414">
      <w:pPr>
        <w:rPr>
          <w:b/>
          <w:bCs/>
        </w:rPr>
      </w:pPr>
      <w:r w:rsidRPr="004E7B57">
        <w:t>........................................</w:t>
      </w:r>
      <w:r w:rsidRPr="00F1093A">
        <w:rPr>
          <w:b/>
          <w:bCs/>
        </w:rPr>
        <w:t>ΕΠΩΝΥΜΙΑ ΤΡΑΠΕΖΑΣ</w:t>
      </w:r>
    </w:p>
    <w:p w14:paraId="09AE0345" w14:textId="77777777" w:rsidR="000546D5" w:rsidRPr="00F1093A" w:rsidRDefault="00856EDC" w:rsidP="00E76414">
      <w:pPr>
        <w:rPr>
          <w:b/>
          <w:bCs/>
        </w:rPr>
      </w:pPr>
      <w:r w:rsidRPr="00F1093A">
        <w:rPr>
          <w:b/>
          <w:bCs/>
        </w:rPr>
        <w:t>……………………………….</w:t>
      </w:r>
      <w:r w:rsidRPr="00F1093A">
        <w:rPr>
          <w:b/>
          <w:bCs/>
        </w:rPr>
        <w:tab/>
        <w:t>ΚΑΤΑΣΤΗΜΑ..................................</w:t>
      </w:r>
    </w:p>
    <w:p w14:paraId="73C018FF" w14:textId="79495479" w:rsidR="000546D5" w:rsidRPr="00F1093A" w:rsidRDefault="00856EDC" w:rsidP="00E76414">
      <w:pPr>
        <w:rPr>
          <w:b/>
          <w:bCs/>
        </w:rPr>
      </w:pPr>
      <w:r w:rsidRPr="00F1093A">
        <w:rPr>
          <w:b/>
          <w:bCs/>
        </w:rPr>
        <w:t xml:space="preserve">(τόπος </w:t>
      </w:r>
      <w:r w:rsidR="00824C17" w:rsidRPr="00F1093A">
        <w:rPr>
          <w:b/>
          <w:bCs/>
        </w:rPr>
        <w:t>–</w:t>
      </w:r>
      <w:r w:rsidRPr="00F1093A">
        <w:rPr>
          <w:b/>
          <w:bCs/>
        </w:rPr>
        <w:t xml:space="preserve"> ημερομηνία)</w:t>
      </w:r>
    </w:p>
    <w:p w14:paraId="2B8BF1EA" w14:textId="77777777" w:rsidR="000546D5" w:rsidRPr="00F1093A" w:rsidRDefault="000546D5" w:rsidP="00E76414">
      <w:pPr>
        <w:pStyle w:val="a3"/>
        <w:rPr>
          <w:b/>
          <w:bCs/>
        </w:rPr>
      </w:pPr>
    </w:p>
    <w:p w14:paraId="32CC5A7A" w14:textId="2E6607F6" w:rsidR="000546D5" w:rsidRPr="00F1093A" w:rsidRDefault="00856EDC" w:rsidP="00E76414">
      <w:pPr>
        <w:rPr>
          <w:b/>
          <w:bCs/>
        </w:rPr>
      </w:pPr>
      <w:r w:rsidRPr="00F1093A">
        <w:rPr>
          <w:b/>
          <w:bCs/>
        </w:rPr>
        <w:t>Προς: Τ</w:t>
      </w:r>
      <w:r w:rsidR="00861FC1" w:rsidRPr="00F1093A">
        <w:rPr>
          <w:b/>
          <w:bCs/>
        </w:rPr>
        <w:t>Ο ΕΛΛΗΝΙΚΟ ΔΗΜΟΣΙΟ</w:t>
      </w:r>
    </w:p>
    <w:p w14:paraId="64B7C433" w14:textId="77777777" w:rsidR="000546D5" w:rsidRPr="00F1093A" w:rsidRDefault="000546D5" w:rsidP="00E76414">
      <w:pPr>
        <w:pStyle w:val="a3"/>
        <w:rPr>
          <w:b/>
          <w:bCs/>
        </w:rPr>
      </w:pPr>
    </w:p>
    <w:p w14:paraId="78EEB61C" w14:textId="4ACE58F0" w:rsidR="000546D5" w:rsidRPr="004E7B57" w:rsidRDefault="00856EDC" w:rsidP="00E76414">
      <w:r w:rsidRPr="00F1093A">
        <w:rPr>
          <w:b/>
          <w:bCs/>
        </w:rPr>
        <w:t>ΕΓΓΥΗΤΙΚΗ ΕΠΙΣΤΟΛΗ ΑΡΙΘ</w:t>
      </w:r>
      <w:r w:rsidRPr="00F1093A">
        <w:rPr>
          <w:b/>
          <w:bCs/>
        </w:rPr>
        <w:tab/>
        <w:t>ΓΙΑ ΕΥΡΩ</w:t>
      </w:r>
      <w:r w:rsidRPr="004E7B57">
        <w:t xml:space="preserve"> </w:t>
      </w:r>
      <w:r w:rsidR="00123882" w:rsidRPr="004E7B57">
        <w:t>…</w:t>
      </w:r>
      <w:r w:rsidRPr="004E7B57">
        <w:t xml:space="preserve"> (€</w:t>
      </w:r>
      <w:r w:rsidR="00123882" w:rsidRPr="004E7B57">
        <w:t>…</w:t>
      </w:r>
      <w:r w:rsidRPr="004E7B57">
        <w:t>)</w:t>
      </w:r>
    </w:p>
    <w:p w14:paraId="78CD4B5A" w14:textId="77777777" w:rsidR="000546D5" w:rsidRPr="004E7B57" w:rsidRDefault="000546D5" w:rsidP="00E76414">
      <w:pPr>
        <w:pStyle w:val="a3"/>
      </w:pPr>
    </w:p>
    <w:p w14:paraId="7A851563" w14:textId="2EAED67B" w:rsidR="000546D5" w:rsidRPr="004E7B57" w:rsidRDefault="00856EDC" w:rsidP="00595D45">
      <w:r w:rsidRPr="004E7B57">
        <w:t xml:space="preserve">Με την παρούσα εγγυόμαστε έναντί σας άνευ όρων, ανέκκλητα και ανεπιφύλακτα, </w:t>
      </w:r>
      <w:proofErr w:type="spellStart"/>
      <w:r w:rsidRPr="004E7B57">
        <w:t>ευθυνόμενοι</w:t>
      </w:r>
      <w:proofErr w:type="spellEnd"/>
      <w:r w:rsidRPr="004E7B57">
        <w:t xml:space="preserve"> έναντί </w:t>
      </w:r>
      <w:proofErr w:type="spellStart"/>
      <w:r w:rsidRPr="004E7B57">
        <w:t>σαςως</w:t>
      </w:r>
      <w:proofErr w:type="spellEnd"/>
      <w:r w:rsidRPr="004E7B57">
        <w:t xml:space="preserve"> </w:t>
      </w:r>
      <w:proofErr w:type="spellStart"/>
      <w:r w:rsidRPr="004E7B57">
        <w:t>πρωτοφειλέτες</w:t>
      </w:r>
      <w:proofErr w:type="spellEnd"/>
      <w:r w:rsidRPr="004E7B57">
        <w:t xml:space="preserve"> και εις </w:t>
      </w:r>
      <w:proofErr w:type="spellStart"/>
      <w:r w:rsidRPr="004E7B57">
        <w:t>ολόκληρον</w:t>
      </w:r>
      <w:proofErr w:type="spellEnd"/>
      <w:r w:rsidRPr="004E7B57">
        <w:t xml:space="preserve">, παραιτούμενοι από το ευεργέτημα της </w:t>
      </w:r>
      <w:proofErr w:type="spellStart"/>
      <w:r w:rsidRPr="004E7B57">
        <w:t>διζήσεως</w:t>
      </w:r>
      <w:proofErr w:type="spellEnd"/>
      <w:r w:rsidRPr="004E7B57">
        <w:t>, καθώς και από κάθε δικαίωμα που προβλέπεται στα άρθρα 851–853, 855, 862−864 και 866−868 του Αστικού Κώδικα, υπέρ της Εταιρείας/ του νομικού προσώπου /του φυσικού προσώπου με την επωνυμία</w:t>
      </w:r>
      <w:r w:rsidR="00BB4304" w:rsidRPr="004E7B57">
        <w:t xml:space="preserve"> </w:t>
      </w:r>
      <w:r w:rsidRPr="004E7B57">
        <w:t xml:space="preserve">……………………………………………………………….., (………………………………) με ΑΦΜ…………………… (και </w:t>
      </w:r>
      <w:proofErr w:type="spellStart"/>
      <w:r w:rsidR="00595D45">
        <w:t>αρ</w:t>
      </w:r>
      <w:proofErr w:type="spellEnd"/>
      <w:r w:rsidR="00595D45">
        <w:t>.</w:t>
      </w:r>
      <w:r w:rsidRPr="004E7B57">
        <w:t xml:space="preserve"> ΓΕΜΗ</w:t>
      </w:r>
      <w:r w:rsidR="00BB4304" w:rsidRPr="004E7B57">
        <w:t xml:space="preserve">…………) </w:t>
      </w:r>
      <w:r w:rsidRPr="004E7B57">
        <w:t xml:space="preserve">(εφεξής ο </w:t>
      </w:r>
      <w:r w:rsidR="00595D45">
        <w:t>«</w:t>
      </w:r>
      <w:r w:rsidRPr="004E7B57">
        <w:t>Επιλεγείς Συμμετέχων</w:t>
      </w:r>
      <w:r w:rsidR="00595D45">
        <w:t>»</w:t>
      </w:r>
      <w:r w:rsidRPr="004E7B57">
        <w:t>),</w:t>
      </w:r>
      <w:r w:rsidR="00BB4304" w:rsidRPr="004E7B57">
        <w:t xml:space="preserve"> και μέχρι του ποσού των:     </w:t>
      </w:r>
      <w:r w:rsidR="00BB4304" w:rsidRPr="004E7B57">
        <w:rPr>
          <w:b/>
          <w:bCs/>
        </w:rPr>
        <w:t>ΕΥΡΩ</w:t>
      </w:r>
      <w:r w:rsidR="006B5D75" w:rsidRPr="004E7B57">
        <w:rPr>
          <w:b/>
          <w:bCs/>
        </w:rPr>
        <w:t xml:space="preserve"> </w:t>
      </w:r>
      <w:r w:rsidR="00370D27" w:rsidRPr="004E7B57">
        <w:rPr>
          <w:b/>
          <w:bCs/>
        </w:rPr>
        <w:t>….</w:t>
      </w:r>
      <w:r w:rsidR="00BB4304" w:rsidRPr="004E7B57">
        <w:rPr>
          <w:b/>
          <w:bCs/>
        </w:rPr>
        <w:t xml:space="preserve">    (€</w:t>
      </w:r>
      <w:r w:rsidR="00370D27" w:rsidRPr="004E7B57">
        <w:rPr>
          <w:b/>
          <w:bCs/>
        </w:rPr>
        <w:t xml:space="preserve"> ……</w:t>
      </w:r>
      <w:r w:rsidR="00BB4304" w:rsidRPr="004E7B57">
        <w:rPr>
          <w:b/>
          <w:bCs/>
        </w:rPr>
        <w:t xml:space="preserve">), </w:t>
      </w:r>
      <w:r w:rsidRPr="004E7B57">
        <w:t xml:space="preserve">στο οποίο και μόνο περιορίζεται η υποχρέωσή μας, για την ακριβή και εμπρόθεσμη εκπλήρωση του συνόλου και κάθε μιας ξεχωριστά των υποχρεώσεων του ως άνω φυσικού προσώπου / της ως άνω εταιρείας / νομικού προσώπου, ως Επιλεγέντος Συμμετέχοντος, ο οποίος αναδείχθηκε μέσω της Ανταγωνιστικής Διαδικασίας υποβολής </w:t>
      </w:r>
      <w:r w:rsidR="00BB4304" w:rsidRPr="004E7B57">
        <w:t>π</w:t>
      </w:r>
      <w:r w:rsidRPr="004E7B57">
        <w:t>ροσφορών για</w:t>
      </w:r>
      <w:r w:rsidR="00605EB9" w:rsidRPr="004E7B57">
        <w:t xml:space="preserve"> τη χορήγηση επενδυτικής και λειτουργικής ενίσχυσης σε σταθμούς αποθήκευσης ηλεκτρικής ενέργειας</w:t>
      </w:r>
      <w:r w:rsidR="00595D45">
        <w:t xml:space="preserve"> (εφεξής «Σ.Α.Η.Ε.»)</w:t>
      </w:r>
      <w:r w:rsidR="00605EB9" w:rsidRPr="004E7B57">
        <w:t xml:space="preserve">, σύμφωνα με την </w:t>
      </w:r>
      <w:proofErr w:type="spellStart"/>
      <w:r w:rsidR="00605EB9" w:rsidRPr="004E7B57">
        <w:t>υποπαρ</w:t>
      </w:r>
      <w:proofErr w:type="spellEnd"/>
      <w:r w:rsidR="00605EB9" w:rsidRPr="004E7B57">
        <w:t>. 2</w:t>
      </w:r>
      <w:r w:rsidR="00605EB9" w:rsidRPr="004E7B57">
        <w:rPr>
          <w:vertAlign w:val="superscript"/>
        </w:rPr>
        <w:t>α</w:t>
      </w:r>
      <w:r w:rsidR="00605EB9" w:rsidRPr="004E7B57">
        <w:t xml:space="preserve"> της παρ. 2 του άρθρου 143στ του ν. 4001/2011 (Α’ 179)</w:t>
      </w:r>
      <w:r w:rsidRPr="004E7B57">
        <w:t xml:space="preserve">, την οποία διεξήγαγε η Ρυθμιστική Αρχή </w:t>
      </w:r>
      <w:r w:rsidR="00824C17" w:rsidRPr="004E7B57">
        <w:t>Αποβλήτων</w:t>
      </w:r>
      <w:r w:rsidR="00824C17" w:rsidRPr="004E7B57">
        <w:rPr>
          <w:b/>
        </w:rPr>
        <w:t xml:space="preserve"> </w:t>
      </w:r>
      <w:r w:rsidRPr="004E7B57">
        <w:t>Ενέργειας</w:t>
      </w:r>
      <w:r w:rsidR="00824C17" w:rsidRPr="004E7B57">
        <w:t xml:space="preserve"> και Υδάτων</w:t>
      </w:r>
      <w:r w:rsidRPr="004E7B57">
        <w:t xml:space="preserve">, δυνάμει της υπ’ </w:t>
      </w:r>
      <w:proofErr w:type="spellStart"/>
      <w:r w:rsidRPr="004E7B57">
        <w:t>αριθ</w:t>
      </w:r>
      <w:proofErr w:type="spellEnd"/>
      <w:r w:rsidR="003E6EB7" w:rsidRPr="004E7B57">
        <w:t>………….</w:t>
      </w:r>
      <w:r w:rsidRPr="00A75131">
        <w:rPr>
          <w:bCs/>
        </w:rPr>
        <w:t xml:space="preserve">απόφασης </w:t>
      </w:r>
      <w:r w:rsidR="00CF21E9" w:rsidRPr="004E7B57">
        <w:t>Ρ.Α.Α.Ε.Υ.</w:t>
      </w:r>
      <w:r w:rsidRPr="004E7B57">
        <w:t xml:space="preserve"> και της σχετικής υπ’ </w:t>
      </w:r>
      <w:proofErr w:type="spellStart"/>
      <w:r w:rsidRPr="004E7B57">
        <w:t>αριθμ</w:t>
      </w:r>
      <w:proofErr w:type="spellEnd"/>
      <w:r w:rsidRPr="004E7B57">
        <w:t xml:space="preserve">. </w:t>
      </w:r>
      <w:r w:rsidR="00595D45">
        <w:t xml:space="preserve">1/2023 </w:t>
      </w:r>
      <w:r w:rsidRPr="004E7B57">
        <w:rPr>
          <w:b/>
        </w:rPr>
        <w:t>Προκήρυξής της</w:t>
      </w:r>
      <w:r w:rsidRPr="004E7B57">
        <w:t>, όπως οι ανωτέρω υποχρεώσεις ορίζονται ειδικώς στ</w:t>
      </w:r>
      <w:r w:rsidR="00BE6C6F">
        <w:t>α</w:t>
      </w:r>
      <w:r w:rsidRPr="004E7B57">
        <w:t xml:space="preserve"> Κεφάλαι</w:t>
      </w:r>
      <w:r w:rsidR="00BE6C6F">
        <w:t>α Γ’ και</w:t>
      </w:r>
      <w:r w:rsidRPr="004E7B57">
        <w:t xml:space="preserve"> Δ’ της ανωτέρω Προκήρυξης και με σκοπό την εξασφάλιση ιδίως της εμπρόθεσμης και άρτιας υλοποίησης</w:t>
      </w:r>
      <w:r w:rsidR="0065432C" w:rsidRPr="004E7B57">
        <w:t xml:space="preserve"> του </w:t>
      </w:r>
      <w:r w:rsidR="00595D45">
        <w:t xml:space="preserve">Σ.Α.Η.Ε. </w:t>
      </w:r>
      <w:r w:rsidR="00595D45" w:rsidRPr="00595D45">
        <w:t>που βρίσκεται στη θέση ......... ...............της Δημοτικής Ενότητας ................. του Δήμου .............. της Περιφερειακής Ενότητας .................. της Περιφέρειας .......................,  μέγιστης ισχύος έγχυσης/ δηλούμενης ισχύος έγχυσης…………….MW και εγγυημένης χωρητικότητας /δηλούμενης χωρητικότητας …………………….</w:t>
      </w:r>
      <w:r w:rsidR="00595D45" w:rsidRPr="00595D45">
        <w:rPr>
          <w:lang w:val="en-US"/>
        </w:rPr>
        <w:t>MW</w:t>
      </w:r>
      <w:r w:rsidR="00595D45">
        <w:t>,</w:t>
      </w:r>
      <w:r w:rsidR="0065432C" w:rsidRPr="004E7B57">
        <w:t xml:space="preserve"> </w:t>
      </w:r>
      <w:r w:rsidRPr="004E7B57">
        <w:t>σύμφωνα με τους όρους της ως άνω Προκήρυξης.</w:t>
      </w:r>
    </w:p>
    <w:p w14:paraId="5E927E95" w14:textId="55E332BF" w:rsidR="000546D5" w:rsidRPr="004E7B57" w:rsidRDefault="00856EDC" w:rsidP="00E76414">
      <w:r w:rsidRPr="004E7B57">
        <w:t xml:space="preserve">Εάν μας γνωστοποιήσετε, ότι ο Επιλεγείς Συμμετέχων </w:t>
      </w:r>
      <w:proofErr w:type="spellStart"/>
      <w:r w:rsidRPr="004E7B57">
        <w:t>παρέβη</w:t>
      </w:r>
      <w:proofErr w:type="spellEnd"/>
      <w:r w:rsidRPr="004E7B57">
        <w:t xml:space="preserve"> τις κατά τα ανωτέρω υποχρεώσεις του σας δηλώνουμε ότι αναλαμβάνουμε με την παρούσα την υποχρέωση να σας καταβάλουμε, άμα τη </w:t>
      </w:r>
      <w:proofErr w:type="spellStart"/>
      <w:r w:rsidRPr="004E7B57">
        <w:t>λήψει</w:t>
      </w:r>
      <w:proofErr w:type="spellEnd"/>
      <w:r w:rsidRPr="004E7B57">
        <w:t xml:space="preserve"> της πρώτης έγγραφης ζήτησής σας περί κατάπτωσης και χωρίς να εξετάσουμε ή να επαληθεύσουμε το βάσιμο της απαίτησής σας ή να υποβάλουμε οποιαδήποτε αντίρρηση, εντός τριών (3) εργασίμων ημερών, το ποσό της εγγύησης, που προκύπτει βάσει των ακολούθως υπό (α), (β) και (γ) αναφερομένων, ολόκληρο ή μέρος αυτού, ελεύθερο και απαλλαγμένο από κάθε απαίτηση, επιβάρυνση ή παρακράτηση, σύμφωνα με τις οδηγίες σας, και μόλις μας το ζητήσετε, χωρίς να απαιτείται για αυτή την πληρωμή οποιαδήποτε εξουσιοδότηση, ενέργεια ή συγκατάθεση εκ μέρους του Επιλεγέντος Συμμετέχοντος και ανεξάρτητα από οποιαδήποτε τυχόν διαφορά, αντίρρηση, ένσταση, επιφύλαξη ή προσφυγή του Επιλεγέντος Συμμετέχοντος </w:t>
      </w:r>
      <w:r w:rsidR="00BB4304" w:rsidRPr="004E7B57">
        <w:t xml:space="preserve">– κατόχου του Ενισχυόμενου Σ.Α.Η.Ε. </w:t>
      </w:r>
      <w:r w:rsidRPr="004E7B57">
        <w:t>ή οποιουδήποτε τρίτου σε διαιτησία ή σε οποιοδήποτε αρμόδιο δικαστήριο. Συγκεκριμένα, η παρούσα εγγυητική επιστολή καταπίπτει υπέρ</w:t>
      </w:r>
      <w:r w:rsidR="00693070">
        <w:t xml:space="preserve"> του Ελληνικού Δημοσίου</w:t>
      </w:r>
      <w:r w:rsidRPr="004E7B57">
        <w:t>, ως εξής:</w:t>
      </w:r>
    </w:p>
    <w:p w14:paraId="7FFEA427" w14:textId="62FB5664" w:rsidR="006B5D75" w:rsidRPr="004E7B57" w:rsidRDefault="006B5D75" w:rsidP="000D19AF">
      <w:pPr>
        <w:pStyle w:val="a3"/>
        <w:ind w:left="142"/>
      </w:pPr>
      <w:r w:rsidRPr="004E7B57">
        <w:rPr>
          <w:b/>
        </w:rPr>
        <w:t xml:space="preserve">(α) </w:t>
      </w:r>
      <w:r w:rsidRPr="004E7B57">
        <w:t xml:space="preserve">πλήρως σε περίπτωση που </w:t>
      </w:r>
      <w:r w:rsidR="00B07148">
        <w:t>ο Επιλεγείς Συμμετέχων</w:t>
      </w:r>
      <w:r w:rsidRPr="004E7B57">
        <w:t xml:space="preserve"> δεν προσκομίσ</w:t>
      </w:r>
      <w:r w:rsidR="00B07148">
        <w:t>ει</w:t>
      </w:r>
      <w:r w:rsidRPr="004E7B57">
        <w:t xml:space="preserve"> την Εγγυητική Επιστολή Καλής Λειτουργίας</w:t>
      </w:r>
      <w:r w:rsidR="00861FC1" w:rsidRPr="004E7B57">
        <w:t xml:space="preserve"> ή υποβληθεί στον Διαχειριστή του Ε.Σ.Μ.Η.Ε. αίτηση για την ενεργοποίηση της σύνδεσης του Σ.Α.Η.Ε. με το Σύστημα, κατά την παρ. 2 του άρθρου 27 του ν. 4951/2022 (Α’ 129), </w:t>
      </w:r>
      <w:r w:rsidR="00B07148" w:rsidRPr="002B443F">
        <w:t>μετά την</w:t>
      </w:r>
      <w:r w:rsidR="00861FC1" w:rsidRPr="002B443F">
        <w:t xml:space="preserve"> </w:t>
      </w:r>
      <w:r w:rsidR="0083070E" w:rsidRPr="002B443F">
        <w:t>3</w:t>
      </w:r>
      <w:r w:rsidR="00861FC1" w:rsidRPr="002B443F">
        <w:t>1</w:t>
      </w:r>
      <w:r w:rsidR="00861FC1" w:rsidRPr="002B443F">
        <w:rPr>
          <w:vertAlign w:val="superscript"/>
        </w:rPr>
        <w:t>η</w:t>
      </w:r>
      <w:r w:rsidR="00861FC1" w:rsidRPr="002B443F">
        <w:t xml:space="preserve"> </w:t>
      </w:r>
      <w:r w:rsidR="0083070E" w:rsidRPr="002B443F">
        <w:t>Δεκεμβ</w:t>
      </w:r>
      <w:r w:rsidR="00861FC1" w:rsidRPr="002B443F">
        <w:t>ρίου 202</w:t>
      </w:r>
      <w:r w:rsidR="0083070E" w:rsidRPr="002B443F">
        <w:t>5</w:t>
      </w:r>
      <w:r w:rsidR="00861FC1" w:rsidRPr="002B443F">
        <w:t>,</w:t>
      </w:r>
    </w:p>
    <w:p w14:paraId="66EC676C" w14:textId="08241E5D" w:rsidR="006B5D75" w:rsidRPr="004E7B57" w:rsidRDefault="006B5D75" w:rsidP="000D19AF">
      <w:pPr>
        <w:pStyle w:val="a3"/>
        <w:ind w:left="142"/>
      </w:pPr>
      <w:r w:rsidRPr="004E7B57">
        <w:rPr>
          <w:b/>
        </w:rPr>
        <w:t xml:space="preserve">(β) </w:t>
      </w:r>
      <w:r w:rsidRPr="004E7B57">
        <w:t>μερικώς, κατά ποσοστό δέκα τοις εκατό (</w:t>
      </w:r>
      <w:r w:rsidR="00693070">
        <w:t>2</w:t>
      </w:r>
      <w:r w:rsidRPr="004E7B57">
        <w:t xml:space="preserve">0%) για κάθε μήνα καθυστέρησης του Επιλεγέντος Συμμετέχοντος να υποβάλει στον Διαχειριστή του Ε.Σ.Μ.Η.Ε. αίτηση για την ενεργοποίηση της σύνδεσης του Σ.Α.Η.Ε. με το Σύστημα, κατά την παρ. 2 του άρθρου 27 του ν. 4951/2022 (Α’ 129), </w:t>
      </w:r>
      <w:r w:rsidR="00693070">
        <w:t>πέραν της 30</w:t>
      </w:r>
      <w:r w:rsidR="00693070" w:rsidRPr="00693070">
        <w:rPr>
          <w:vertAlign w:val="superscript"/>
        </w:rPr>
        <w:t>ης</w:t>
      </w:r>
      <w:r w:rsidR="00693070">
        <w:t xml:space="preserve"> Σεπτεμβρίου 2025</w:t>
      </w:r>
      <w:r w:rsidR="002B443F">
        <w:t xml:space="preserve"> (και έως την </w:t>
      </w:r>
      <w:r w:rsidR="002B443F" w:rsidRPr="002B443F">
        <w:t>31</w:t>
      </w:r>
      <w:r w:rsidR="002B443F" w:rsidRPr="002B443F">
        <w:rPr>
          <w:vertAlign w:val="superscript"/>
        </w:rPr>
        <w:t>η</w:t>
      </w:r>
      <w:r w:rsidR="002B443F" w:rsidRPr="002B443F">
        <w:t xml:space="preserve"> Δεκεμβρίου 2025)</w:t>
      </w:r>
      <w:r w:rsidR="00693070" w:rsidRPr="002B443F">
        <w:t>.</w:t>
      </w:r>
    </w:p>
    <w:p w14:paraId="164892CC" w14:textId="4D0355E4" w:rsidR="006B5D75" w:rsidRPr="004E7B57" w:rsidRDefault="006B5D75" w:rsidP="000D19AF">
      <w:pPr>
        <w:pStyle w:val="a3"/>
        <w:ind w:left="142"/>
      </w:pPr>
      <w:r w:rsidRPr="004E7B57">
        <w:rPr>
          <w:b/>
        </w:rPr>
        <w:t xml:space="preserve">(γ) </w:t>
      </w:r>
      <w:r w:rsidRPr="004E7B57">
        <w:t xml:space="preserve">στις περιπτώσεις </w:t>
      </w:r>
      <w:r w:rsidRPr="000D19AF">
        <w:t>του άρθρου 1</w:t>
      </w:r>
      <w:r w:rsidR="00693070" w:rsidRPr="000D19AF">
        <w:t>5</w:t>
      </w:r>
      <w:r w:rsidRPr="000D19AF">
        <w:t xml:space="preserve"> της</w:t>
      </w:r>
      <w:r w:rsidRPr="004E7B57">
        <w:t xml:space="preserve"> Προκήρυξης.</w:t>
      </w:r>
    </w:p>
    <w:p w14:paraId="21B8F60B" w14:textId="77777777" w:rsidR="000546D5" w:rsidRPr="004E7B57" w:rsidRDefault="00856EDC" w:rsidP="00E76414">
      <w:r w:rsidRPr="004E7B57">
        <w:lastRenderedPageBreak/>
        <w:t>Με την καταβολή από την Τράπεζα οποιουδήποτε ποσού συνεπεία οποιαδήποτε μερικής κατάπτωσης της παρούσας Εγγυητικής Επιστολής, μειώνεται αντίστοιχα το ποσό της παρούσας.</w:t>
      </w:r>
    </w:p>
    <w:p w14:paraId="4FC3BF1D" w14:textId="5D1ADE1B" w:rsidR="000546D5" w:rsidRPr="004E7B57" w:rsidRDefault="00856EDC" w:rsidP="00E76414">
      <w:pPr>
        <w:rPr>
          <w:b/>
          <w:i/>
        </w:rPr>
      </w:pPr>
      <w:r w:rsidRPr="004E7B57">
        <w:t xml:space="preserve">Η παρούσα εγγυητική επιστολή λήγει σε </w:t>
      </w:r>
      <w:r w:rsidR="005E4519" w:rsidRPr="004E7B57">
        <w:rPr>
          <w:b/>
        </w:rPr>
        <w:t>….</w:t>
      </w:r>
      <w:r w:rsidRPr="004E7B57">
        <w:rPr>
          <w:b/>
        </w:rPr>
        <w:t xml:space="preserve"> (</w:t>
      </w:r>
      <w:r w:rsidR="005E4519" w:rsidRPr="004E7B57">
        <w:rPr>
          <w:b/>
        </w:rPr>
        <w:t>….</w:t>
      </w:r>
      <w:r w:rsidRPr="004E7B57">
        <w:rPr>
          <w:b/>
        </w:rPr>
        <w:t>) μήνες</w:t>
      </w:r>
      <w:r w:rsidRPr="004E7B57">
        <w:t xml:space="preserve">, ήτοι </w:t>
      </w:r>
      <w:r w:rsidRPr="004E7B57">
        <w:rPr>
          <w:b/>
          <w:bCs/>
        </w:rPr>
        <w:t xml:space="preserve">την </w:t>
      </w:r>
      <w:r w:rsidR="005E4519" w:rsidRPr="004E7B57">
        <w:rPr>
          <w:b/>
          <w:bCs/>
        </w:rPr>
        <w:t>31.</w:t>
      </w:r>
      <w:r w:rsidR="00370D27" w:rsidRPr="004E7B57">
        <w:rPr>
          <w:b/>
          <w:bCs/>
        </w:rPr>
        <w:t>0</w:t>
      </w:r>
      <w:r w:rsidR="00693070">
        <w:rPr>
          <w:b/>
          <w:bCs/>
        </w:rPr>
        <w:t>1</w:t>
      </w:r>
      <w:r w:rsidR="005E4519" w:rsidRPr="004E7B57">
        <w:rPr>
          <w:b/>
          <w:bCs/>
        </w:rPr>
        <w:t>.202</w:t>
      </w:r>
      <w:r w:rsidR="00370D27" w:rsidRPr="004E7B57">
        <w:rPr>
          <w:b/>
          <w:bCs/>
        </w:rPr>
        <w:t>6</w:t>
      </w:r>
      <w:r w:rsidRPr="004E7B57">
        <w:rPr>
          <w:b/>
          <w:bCs/>
          <w:i/>
        </w:rPr>
        <w:t>.</w:t>
      </w:r>
    </w:p>
    <w:p w14:paraId="2387A171" w14:textId="1EF65C1E" w:rsidR="000546D5" w:rsidRPr="004E7B57" w:rsidRDefault="00856EDC" w:rsidP="00E76414">
      <w:r w:rsidRPr="004E7B57">
        <w:t xml:space="preserve">Το σώμα της εγγυητικής επιστολής θα πρέπει να μας επιστραφεί εάν ο Επιλεγείς Συμμετέχων προσκομίσει </w:t>
      </w:r>
      <w:r w:rsidR="00370D27" w:rsidRPr="004E7B57">
        <w:t xml:space="preserve"> νέα </w:t>
      </w:r>
      <w:r w:rsidR="00337D03" w:rsidRPr="004E7B57">
        <w:t xml:space="preserve">Εγγυητική Επιστολή Έντεχνης και Έγκαιρης </w:t>
      </w:r>
      <w:r w:rsidR="00AD22DD" w:rsidRPr="004E7B57">
        <w:t>Εκτέλεσης</w:t>
      </w:r>
      <w:r w:rsidRPr="004E7B57">
        <w:t xml:space="preserve"> βάσει των </w:t>
      </w:r>
      <w:proofErr w:type="spellStart"/>
      <w:r w:rsidRPr="004E7B57">
        <w:t>οριζομένων</w:t>
      </w:r>
      <w:proofErr w:type="spellEnd"/>
      <w:r w:rsidRPr="004E7B57">
        <w:t xml:space="preserve"> στην παράγραφο </w:t>
      </w:r>
      <w:r w:rsidR="00BE6C6F" w:rsidRPr="000D19AF">
        <w:t xml:space="preserve">11.3.2. </w:t>
      </w:r>
      <w:r w:rsidRPr="000D19AF">
        <w:t>της Προκήρυξης.</w:t>
      </w:r>
    </w:p>
    <w:p w14:paraId="01794DA6" w14:textId="0442D67D" w:rsidR="000546D5" w:rsidRPr="004E7B57" w:rsidRDefault="00856EDC" w:rsidP="00E76414">
      <w:r w:rsidRPr="004E7B57">
        <w:t xml:space="preserve">Η υποχρέωσή μας δυνάμει της παρούσας εγγύησης θα παραμείνει σε πλήρη ισχύ και δεν θεωρείται ότι απαλλαχτήκαμε αυτής λόγω οποιασδήποτε πράξης, παράλειψης ή γεγονότος το οποίο, ελλείψει της παρούσας διάταξης, θα ήταν δυνατό να οδηγήσει στην ελευθέρωσή μας από τις υποχρεώσεις μας, που απορρέουν από την παρούσα εγγύηση, εν </w:t>
      </w:r>
      <w:proofErr w:type="spellStart"/>
      <w:r w:rsidRPr="004E7B57">
        <w:t>όλω</w:t>
      </w:r>
      <w:proofErr w:type="spellEnd"/>
      <w:r w:rsidRPr="004E7B57">
        <w:t xml:space="preserve"> ή εν μέρει, περιλαμβανομένων ενδεικτικά, και ανεξάρτητα από το αν έχουμε ή έχετε λάβει γνώση των ακολούθων: α. πτώχευση, αναγκαστική διαχείριση, λύση και θέση σε εκκαθάριση σε περίπτωση Εταιρείας, διαδικασία συνδιαλλαγής ή εξυγίανσης, β. οποιαδήποτε παράταση, παραίτηση ή ευκολία δοθεί υπέρ της Εταιρείας ή οποιουδήποτε τρίτου, γ. ύπαρξη δικαιώματος</w:t>
      </w:r>
      <w:r w:rsidR="007F088B" w:rsidRPr="004E7B57">
        <w:t xml:space="preserve"> </w:t>
      </w:r>
      <w:r w:rsidRPr="004E7B57">
        <w:t xml:space="preserve">συμψηφισμού ή επισχέσεως </w:t>
      </w:r>
      <w:proofErr w:type="spellStart"/>
      <w:r w:rsidRPr="004E7B57">
        <w:t>ερειδόμενου</w:t>
      </w:r>
      <w:proofErr w:type="spellEnd"/>
      <w:r w:rsidRPr="004E7B57">
        <w:t xml:space="preserve"> σε οποιασδήποτε φύσεως απαίτηση της Εταιρείας (ή του φυσικού προσώπου) ή τρίτου εναντίον σας.</w:t>
      </w:r>
    </w:p>
    <w:p w14:paraId="25A4971F" w14:textId="77777777" w:rsidR="000546D5" w:rsidRDefault="00856EDC" w:rsidP="00E76414">
      <w:r w:rsidRPr="004E7B57">
        <w:t xml:space="preserve">Η παρούσα εγγύηση και όλα τα σχετικά με αυτήν ζητήματα </w:t>
      </w:r>
      <w:proofErr w:type="spellStart"/>
      <w:r w:rsidRPr="004E7B57">
        <w:t>διέπονται</w:t>
      </w:r>
      <w:proofErr w:type="spellEnd"/>
      <w:r w:rsidRPr="004E7B57">
        <w:t xml:space="preserve"> από το Ελληνικό Δίκαιο και με την παρούσα η Τράπεζά μας αποδέχεται ανέκκλητα την αρμοδιότητα των δικαστηρίων της Αθήνας. Σημειώστε παρακαλούμε, ότι το συνολικό ποσό των Εγγυητικών Επιστολών, που χορήγησε η Τράπεζά μας και είναι σε ισχύ, συμπεριλαμβανομένης και της παρούσας δεν υπερβαίνει το καθορισμένο από την ισχύουσα νομοθεσία για την Τράπεζά μας όριο.</w:t>
      </w:r>
    </w:p>
    <w:p w14:paraId="4B87E9D0" w14:textId="106000D0" w:rsidR="00BE6C6F" w:rsidRPr="005D4AA0" w:rsidRDefault="00BE6C6F" w:rsidP="00BE6C6F">
      <w:pPr>
        <w:rPr>
          <w:sz w:val="20"/>
        </w:rPr>
      </w:pPr>
      <w:r w:rsidRPr="00DD0D87">
        <w:t xml:space="preserve">Δηλώνουμε, επίσης, ότι αντίγραφο της παρούσας Εγγυητικής Επιστολής θα υποβληθεί, εκτός από τον </w:t>
      </w:r>
      <w:r w:rsidR="00954413">
        <w:t xml:space="preserve">Επιλεγέντα </w:t>
      </w:r>
      <w:r>
        <w:t>Συμμετέχοντα</w:t>
      </w:r>
      <w:r w:rsidRPr="00DD0D87">
        <w:t>, και απευθείας από εμάς, μέσω ηλεκτρονικού ταχυδρομείου (</w:t>
      </w:r>
      <w:r w:rsidRPr="00DD0D87">
        <w:rPr>
          <w:lang w:val="en-US"/>
        </w:rPr>
        <w:t>e</w:t>
      </w:r>
      <w:r w:rsidRPr="00DD0D87">
        <w:t xml:space="preserve"> – </w:t>
      </w:r>
      <w:r w:rsidRPr="00DD0D87">
        <w:rPr>
          <w:lang w:val="en-US"/>
        </w:rPr>
        <w:t>mail</w:t>
      </w:r>
      <w:r w:rsidRPr="00DD0D87">
        <w:t xml:space="preserve">) στην ηλεκτρονική διεύθυνση </w:t>
      </w:r>
      <w:hyperlink r:id="rId25" w:history="1">
        <w:r w:rsidRPr="00DD0D87">
          <w:rPr>
            <w:rStyle w:val="-"/>
            <w:lang w:val="en-US"/>
          </w:rPr>
          <w:t>guarantee</w:t>
        </w:r>
        <w:r w:rsidRPr="00DD0D87">
          <w:rPr>
            <w:rStyle w:val="-"/>
          </w:rPr>
          <w:t>@</w:t>
        </w:r>
        <w:proofErr w:type="spellStart"/>
        <w:r w:rsidRPr="00DD0D87">
          <w:rPr>
            <w:rStyle w:val="-"/>
            <w:lang w:val="en-US"/>
          </w:rPr>
          <w:t>rae</w:t>
        </w:r>
        <w:proofErr w:type="spellEnd"/>
        <w:r w:rsidRPr="00DD0D87">
          <w:rPr>
            <w:rStyle w:val="-"/>
          </w:rPr>
          <w:t>.</w:t>
        </w:r>
        <w:r w:rsidRPr="00DD0D87">
          <w:rPr>
            <w:rStyle w:val="-"/>
            <w:lang w:val="en-US"/>
          </w:rPr>
          <w:t>gr</w:t>
        </w:r>
      </w:hyperlink>
      <w:r w:rsidRPr="00BD6B9A">
        <w:rPr>
          <w:sz w:val="20"/>
        </w:rPr>
        <w:t>.</w:t>
      </w:r>
    </w:p>
    <w:p w14:paraId="3EBBF3E2" w14:textId="77777777" w:rsidR="00BE6C6F" w:rsidRPr="004E7B57" w:rsidRDefault="00BE6C6F" w:rsidP="00E76414"/>
    <w:p w14:paraId="3646547C" w14:textId="77777777" w:rsidR="000546D5" w:rsidRPr="004E7B57" w:rsidRDefault="00856EDC" w:rsidP="00E76414">
      <w:r w:rsidRPr="004E7B57">
        <w:t>Σε πίστωση των ανωτέρω η παρούσα εγγύηση υπεγράφη την ………………..</w:t>
      </w:r>
    </w:p>
    <w:p w14:paraId="4323DE51" w14:textId="77777777" w:rsidR="000546D5" w:rsidRPr="004E7B57" w:rsidRDefault="000546D5" w:rsidP="00E76414">
      <w:pPr>
        <w:pStyle w:val="a3"/>
      </w:pPr>
    </w:p>
    <w:p w14:paraId="5214B3AC" w14:textId="77777777" w:rsidR="000546D5" w:rsidRPr="004E7B57" w:rsidRDefault="00856EDC" w:rsidP="00E76414">
      <w:r w:rsidRPr="004E7B57">
        <w:t>ΥΠΟΓΡΑΦΗ &amp; ΕΠΩΝΥΜΙΑ ΤΡΑΠΕΖΑΣ</w:t>
      </w:r>
    </w:p>
    <w:p w14:paraId="3D633E42" w14:textId="77777777" w:rsidR="00395636" w:rsidRPr="004E7B57" w:rsidRDefault="00395636" w:rsidP="00E76414"/>
    <w:p w14:paraId="6742BE1F" w14:textId="77777777" w:rsidR="00F1093A" w:rsidRDefault="00395636" w:rsidP="00E76414">
      <w:r w:rsidRPr="004E7B57">
        <w:tab/>
      </w:r>
    </w:p>
    <w:p w14:paraId="2620DA8A" w14:textId="77777777" w:rsidR="00F1093A" w:rsidRDefault="00F1093A">
      <w:pPr>
        <w:tabs>
          <w:tab w:val="clear" w:pos="1189"/>
        </w:tabs>
        <w:spacing w:after="0" w:line="240" w:lineRule="auto"/>
        <w:ind w:right="0"/>
        <w:jc w:val="left"/>
      </w:pPr>
      <w:r>
        <w:br w:type="page"/>
      </w:r>
    </w:p>
    <w:p w14:paraId="4BBE3281" w14:textId="1F3C41F9" w:rsidR="000D19AF" w:rsidRPr="00717B8C" w:rsidRDefault="00856EDC" w:rsidP="00717B8C">
      <w:pPr>
        <w:jc w:val="center"/>
        <w:rPr>
          <w:b/>
          <w:bCs/>
        </w:rPr>
      </w:pPr>
      <w:r w:rsidRPr="00717B8C">
        <w:rPr>
          <w:b/>
          <w:bCs/>
        </w:rPr>
        <w:lastRenderedPageBreak/>
        <w:t>ΙΙ. Υπόδειγμα Εγγυητικής Επιστολής Καλής Λειτουργίας</w:t>
      </w:r>
    </w:p>
    <w:p w14:paraId="5F9E5AE6" w14:textId="2347094C" w:rsidR="000D19AF" w:rsidRPr="00717B8C" w:rsidRDefault="000D19AF" w:rsidP="00717B8C">
      <w:pPr>
        <w:jc w:val="center"/>
      </w:pPr>
      <w:r w:rsidRPr="00717B8C">
        <w:t>(παρ. 11.3.3. της Προκήρυξης)</w:t>
      </w:r>
    </w:p>
    <w:p w14:paraId="633237D1" w14:textId="77777777" w:rsidR="000D19AF" w:rsidRDefault="000D19AF" w:rsidP="00E76414"/>
    <w:p w14:paraId="172FB87D" w14:textId="1C4AC4AC" w:rsidR="005E4519" w:rsidRPr="00F1093A" w:rsidRDefault="005E4519" w:rsidP="00E76414">
      <w:pPr>
        <w:rPr>
          <w:b/>
          <w:bCs/>
          <w:sz w:val="20"/>
          <w:szCs w:val="20"/>
        </w:rPr>
      </w:pPr>
      <w:r w:rsidRPr="00F1093A">
        <w:rPr>
          <w:b/>
          <w:bCs/>
          <w:sz w:val="20"/>
          <w:szCs w:val="20"/>
        </w:rPr>
        <w:t>........................................ΕΠΩΝΥΜΙΑ ΤΡΑΠΕΖΑΣ</w:t>
      </w:r>
    </w:p>
    <w:p w14:paraId="1CC53F52" w14:textId="77777777" w:rsidR="005E4519" w:rsidRPr="00F1093A" w:rsidRDefault="005E4519" w:rsidP="00E76414">
      <w:pPr>
        <w:rPr>
          <w:b/>
          <w:bCs/>
        </w:rPr>
      </w:pPr>
      <w:r w:rsidRPr="00F1093A">
        <w:rPr>
          <w:b/>
          <w:bCs/>
        </w:rPr>
        <w:t>……………………………….</w:t>
      </w:r>
      <w:r w:rsidRPr="00F1093A">
        <w:rPr>
          <w:b/>
          <w:bCs/>
        </w:rPr>
        <w:tab/>
        <w:t>ΚΑΤΑΣΤΗΜΑ..................................</w:t>
      </w:r>
    </w:p>
    <w:p w14:paraId="561AF133" w14:textId="77777777" w:rsidR="005E4519" w:rsidRPr="00F1093A" w:rsidRDefault="005E4519" w:rsidP="00E76414">
      <w:pPr>
        <w:rPr>
          <w:b/>
          <w:bCs/>
        </w:rPr>
      </w:pPr>
      <w:r w:rsidRPr="00F1093A">
        <w:rPr>
          <w:b/>
          <w:bCs/>
        </w:rPr>
        <w:t>(τόπος − ημερομηνία)</w:t>
      </w:r>
    </w:p>
    <w:p w14:paraId="62A40525" w14:textId="77777777" w:rsidR="005E4519" w:rsidRPr="00F1093A" w:rsidRDefault="005E4519" w:rsidP="00E76414">
      <w:pPr>
        <w:pStyle w:val="a3"/>
        <w:rPr>
          <w:b/>
          <w:bCs/>
        </w:rPr>
      </w:pPr>
    </w:p>
    <w:p w14:paraId="4966518E" w14:textId="150F08D2" w:rsidR="005E4519" w:rsidRPr="00F1093A" w:rsidRDefault="005E4519" w:rsidP="00E76414">
      <w:pPr>
        <w:rPr>
          <w:b/>
          <w:bCs/>
        </w:rPr>
      </w:pPr>
      <w:r w:rsidRPr="00F1093A">
        <w:rPr>
          <w:b/>
          <w:bCs/>
        </w:rPr>
        <w:t>Προς: ΤΗΝ ΑΝΩΝΥΜΗ ΕΤΑΙΡΕΙΑ ΜΕ ΤΗΝ ΕΠΩΝΥΜΙΑ «ΔΙΑΧΕΙΡΙΣΤΗΣ Α.Π.Ε. ΚΑΙ ΕΓΓΥΗΣΕΩΝ ΠΡΟΛΕΥΣΗΣ» ΥΠΟ ΤΗΝ ΙΔΙΟΤΗΤΑ Τ</w:t>
      </w:r>
      <w:r w:rsidR="007C70C2">
        <w:rPr>
          <w:b/>
          <w:bCs/>
        </w:rPr>
        <w:t>ΗΣ</w:t>
      </w:r>
      <w:r w:rsidRPr="00F1093A">
        <w:rPr>
          <w:b/>
          <w:bCs/>
        </w:rPr>
        <w:t xml:space="preserve"> ΩΣ ΔΙΑΧΕΙΡΙΣΤΗ ΤΟΥ «ΕΙΔΙΚΟΥ ΛΟΓΑΡΙΑΣΜΟΥ Α.Π.Ε., Σ.Η.Θ.Υ.Α. ΚΑΙ ΑΠΟΘΗΚΕΥΣΗΣ ΔΙΑΣΥΝΔΕΔΕΜΕΝΟΥ ΣΥΣΤΗΜΑΤΟΣ ΚΑΙ ΔΙΚΤΥΟΥ του άρθρου 143 του ν. 4001/2011 ».</w:t>
      </w:r>
    </w:p>
    <w:p w14:paraId="75538AC0" w14:textId="77777777" w:rsidR="005E4519" w:rsidRPr="00F1093A" w:rsidRDefault="005E4519" w:rsidP="00E76414">
      <w:pPr>
        <w:pStyle w:val="a3"/>
        <w:rPr>
          <w:b/>
          <w:bCs/>
        </w:rPr>
      </w:pPr>
    </w:p>
    <w:p w14:paraId="20FEE39C" w14:textId="1BEB360B" w:rsidR="005E4519" w:rsidRPr="00F1093A" w:rsidRDefault="005E4519" w:rsidP="00E76414">
      <w:pPr>
        <w:rPr>
          <w:b/>
          <w:bCs/>
        </w:rPr>
      </w:pPr>
      <w:r w:rsidRPr="00F1093A">
        <w:rPr>
          <w:b/>
          <w:bCs/>
        </w:rPr>
        <w:t>ΕΓΓΥΗΤΙΚΗ ΕΠΙΣΤΟΛΗ ΑΡΙΘ</w:t>
      </w:r>
      <w:r w:rsidRPr="00F1093A">
        <w:rPr>
          <w:b/>
          <w:bCs/>
        </w:rPr>
        <w:tab/>
        <w:t>ΓΙΑ ΕΥΡΩ … (€…)</w:t>
      </w:r>
    </w:p>
    <w:p w14:paraId="6D6E94E3" w14:textId="77777777" w:rsidR="005E4519" w:rsidRPr="004E7B57" w:rsidRDefault="005E4519" w:rsidP="00E76414">
      <w:pPr>
        <w:pStyle w:val="a3"/>
      </w:pPr>
    </w:p>
    <w:p w14:paraId="4652B1AA" w14:textId="64CB49D9" w:rsidR="005E4519" w:rsidRPr="004E7B57" w:rsidRDefault="005E4519" w:rsidP="00E76414">
      <w:r w:rsidRPr="004E7B57">
        <w:t xml:space="preserve">Με την παρούσα εγγυόμαστε έναντί σας άνευ όρων, ανέκκλητα και ανεπιφύλακτα, </w:t>
      </w:r>
      <w:proofErr w:type="spellStart"/>
      <w:r w:rsidRPr="004E7B57">
        <w:t>ευθυνόμενοι</w:t>
      </w:r>
      <w:proofErr w:type="spellEnd"/>
      <w:r w:rsidRPr="004E7B57">
        <w:t xml:space="preserve"> έναντί </w:t>
      </w:r>
      <w:r w:rsidR="00E850D4">
        <w:t xml:space="preserve">σας </w:t>
      </w:r>
      <w:r w:rsidRPr="004E7B57">
        <w:t xml:space="preserve">ως </w:t>
      </w:r>
      <w:proofErr w:type="spellStart"/>
      <w:r w:rsidRPr="004E7B57">
        <w:t>πρωτοφειλέτες</w:t>
      </w:r>
      <w:proofErr w:type="spellEnd"/>
      <w:r w:rsidRPr="004E7B57">
        <w:t xml:space="preserve"> και εις </w:t>
      </w:r>
      <w:proofErr w:type="spellStart"/>
      <w:r w:rsidRPr="004E7B57">
        <w:t>ολόκληρον</w:t>
      </w:r>
      <w:proofErr w:type="spellEnd"/>
      <w:r w:rsidRPr="004E7B57">
        <w:t xml:space="preserve">, παραιτούμενοι από το ευεργέτημα της </w:t>
      </w:r>
      <w:proofErr w:type="spellStart"/>
      <w:r w:rsidRPr="004E7B57">
        <w:t>διζήσεως</w:t>
      </w:r>
      <w:proofErr w:type="spellEnd"/>
      <w:r w:rsidRPr="004E7B57">
        <w:t xml:space="preserve">, καθώς και από κάθε δικαίωμα που προβλέπεται στα άρθρα 851–853, 855, 862−864 και 866−868 του Αστικού Κώδικα, υπέρ της Εταιρείας/ του νομικού προσώπου /του φυσικού προσώπου με την επωνυμία ……………………………………………………………….., (………………………………) με ΑΦΜ…………………… (και </w:t>
      </w:r>
      <w:proofErr w:type="spellStart"/>
      <w:r w:rsidR="009C2007">
        <w:t>αρ</w:t>
      </w:r>
      <w:proofErr w:type="spellEnd"/>
      <w:r w:rsidR="009C2007">
        <w:t>.</w:t>
      </w:r>
      <w:r w:rsidRPr="004E7B57">
        <w:t xml:space="preserve"> ΓΕΜΗ…………) (εφεξής ο Επιλεγείς Συμμετέχων), και μέχρι του ποσού των:     </w:t>
      </w:r>
      <w:r w:rsidRPr="004E7B57">
        <w:rPr>
          <w:b/>
          <w:bCs/>
        </w:rPr>
        <w:t xml:space="preserve">ΕΥΡΩ      (€…), </w:t>
      </w:r>
      <w:r w:rsidRPr="004E7B57">
        <w:t>στο οποίο και μόνο περιορίζεται η υποχρέωσή μας, για την ακριβή και εμπρόθεσμη εκπλήρωση του συνόλου και κάθε μιας ξεχωριστά των υποχρεώσεων του ως άνω φυσικού προσώπου / της ως άνω εταιρείας / νομικού προσώπου, ως Επιλεγέντος Συμμετέχοντος, ο οποίος αναδείχθηκε μέσω της Ανταγωνιστικής Διαδικασίας υποβολής προσφορών για τη χορήγηση επενδυτικής και λειτουργικής ενίσχυσης σε σταθμούς αποθήκευσης ηλεκτρικής ενέργειας</w:t>
      </w:r>
      <w:r w:rsidR="00954413">
        <w:t xml:space="preserve"> (</w:t>
      </w:r>
      <w:proofErr w:type="spellStart"/>
      <w:r w:rsidR="00954413">
        <w:t>εφεξης</w:t>
      </w:r>
      <w:proofErr w:type="spellEnd"/>
      <w:r w:rsidR="00954413">
        <w:t xml:space="preserve"> «Σ.Α.Η.Ε.»)</w:t>
      </w:r>
      <w:r w:rsidRPr="004E7B57">
        <w:t xml:space="preserve">, σύμφωνα με την παρ. 4 του άρθρου 143στ του ν. 4001/2011 (Α’ 179), την οποία διεξήγαγε η Ρυθμιστική Αρχή </w:t>
      </w:r>
      <w:r w:rsidR="00824C17" w:rsidRPr="004E7B57">
        <w:t xml:space="preserve">Αποβλήτων </w:t>
      </w:r>
      <w:r w:rsidRPr="004E7B57">
        <w:t>Ενέργειας</w:t>
      </w:r>
      <w:r w:rsidR="00824C17" w:rsidRPr="004E7B57">
        <w:t xml:space="preserve"> και Υδάτων</w:t>
      </w:r>
      <w:r w:rsidRPr="004E7B57">
        <w:t xml:space="preserve">, δυνάμει της υπ’ </w:t>
      </w:r>
      <w:proofErr w:type="spellStart"/>
      <w:r w:rsidRPr="004E7B57">
        <w:t>αριθ</w:t>
      </w:r>
      <w:proofErr w:type="spellEnd"/>
      <w:r w:rsidRPr="004E7B57">
        <w:t>………….</w:t>
      </w:r>
      <w:r w:rsidRPr="004E7B57">
        <w:rPr>
          <w:b/>
        </w:rPr>
        <w:t xml:space="preserve">απόφασης </w:t>
      </w:r>
      <w:r w:rsidR="00CF21E9" w:rsidRPr="004E7B57">
        <w:t>Ρ.Α.Α.Ε.Υ.</w:t>
      </w:r>
      <w:r w:rsidRPr="004E7B57">
        <w:t xml:space="preserve"> και της σχετικής υπ’ </w:t>
      </w:r>
      <w:proofErr w:type="spellStart"/>
      <w:r w:rsidRPr="004E7B57">
        <w:t>αριθμ</w:t>
      </w:r>
      <w:proofErr w:type="spellEnd"/>
      <w:r w:rsidRPr="004E7B57">
        <w:t xml:space="preserve">. </w:t>
      </w:r>
      <w:r w:rsidR="00954413">
        <w:t xml:space="preserve">1/2023 </w:t>
      </w:r>
      <w:r w:rsidRPr="004E7B57">
        <w:rPr>
          <w:b/>
        </w:rPr>
        <w:t>Προκήρυξής της</w:t>
      </w:r>
      <w:r w:rsidRPr="004E7B57">
        <w:t>, όπως οι ανωτέρω υποχρεώσεις ορίζονται ειδικώς στ</w:t>
      </w:r>
      <w:r w:rsidR="00954413">
        <w:t>α</w:t>
      </w:r>
      <w:r w:rsidRPr="004E7B57">
        <w:t xml:space="preserve"> Κεφάλαιο </w:t>
      </w:r>
      <w:r w:rsidR="00954413">
        <w:t xml:space="preserve">Γ’ και </w:t>
      </w:r>
      <w:r w:rsidRPr="004E7B57">
        <w:t xml:space="preserve">Δ’ της ανωτέρω Προκήρυξης και με σκοπό την εξασφάλιση ιδίως της καλής λειτουργίας του </w:t>
      </w:r>
      <w:r w:rsidR="00954413" w:rsidRPr="004E7B57">
        <w:t xml:space="preserve">του </w:t>
      </w:r>
      <w:r w:rsidR="00954413">
        <w:t xml:space="preserve">Σ.Α.Η.Ε. </w:t>
      </w:r>
      <w:r w:rsidR="00954413" w:rsidRPr="00595D45">
        <w:t>που βρίσκεται στη θέση ......... ...............της Δημοτικής Ενότητας ................. του Δήμου .............. της Περιφερειακής Ενότητας .................. της Περιφέρειας .......................,  μέγιστης ισχύος έγχυσης/ δηλούμενης ισχύος έγχυσης…………….MW και εγγυημένης χωρητικότητας /δηλούμενης χωρητικότητας …………………….</w:t>
      </w:r>
      <w:r w:rsidR="00954413" w:rsidRPr="00595D45">
        <w:rPr>
          <w:lang w:val="en-US"/>
        </w:rPr>
        <w:t>MW</w:t>
      </w:r>
      <w:r w:rsidRPr="004E7B57">
        <w:t>, σύμφωνα με τους όρους της ως άνω Προκήρυξης.</w:t>
      </w:r>
    </w:p>
    <w:p w14:paraId="6D76A17E" w14:textId="4F1A8796" w:rsidR="005E4519" w:rsidRPr="004E7B57" w:rsidRDefault="005E4519" w:rsidP="00E76414">
      <w:r w:rsidRPr="004E7B57">
        <w:t xml:space="preserve">Εάν μας γνωστοποιήσετε, ότι ο Επιλεγείς Συμμετέχων </w:t>
      </w:r>
      <w:proofErr w:type="spellStart"/>
      <w:r w:rsidRPr="004E7B57">
        <w:t>παρέβη</w:t>
      </w:r>
      <w:proofErr w:type="spellEnd"/>
      <w:r w:rsidRPr="004E7B57">
        <w:t xml:space="preserve"> τις κατά τα ανωτέρω υποχρεώσεις του σας δηλώνουμε ότι αναλαμβάνουμε με την παρούσα την υποχρέωση να σας καταβάλουμε, άμα τη </w:t>
      </w:r>
      <w:proofErr w:type="spellStart"/>
      <w:r w:rsidRPr="004E7B57">
        <w:t>λήψει</w:t>
      </w:r>
      <w:proofErr w:type="spellEnd"/>
      <w:r w:rsidRPr="004E7B57">
        <w:t xml:space="preserve"> της πρώτης έγγραφης ζήτησής σας περί κατάπτωσης και χωρίς να εξετάσουμε ή να επαληθεύσουμε το βάσιμο της απαίτησής σας ή να υποβάλουμε οποιαδήποτε αντίρρηση, εντός τριών (3) εργασίμων ημερών, το ποσό της εγγύησης, ολόκληρο ή μέρος αυτού, ελεύθερο και απαλλαγμένο από κάθε απαίτηση, επιβάρυνση ή παρακράτηση, σύμφωνα με τις οδηγίες σας, και μόλις μας το ζητήσετε, χωρίς να απαιτείται για αυτή την πληρωμή οποιαδήποτε εξουσιοδότηση, ενέργεια ή συγκατάθεση εκ μέρους του Επιλεγέντος Συμμετέχοντος και ανεξάρτητα από οποιαδήποτε τυχόν διαφορά, αντίρρηση, ένσταση, επιφύλαξη ή προσφυγή του Επιλεγέντος Συμμετέχοντος – κατόχου του Ενισχυόμενου Σ.Α.Η.Ε. ή οποιουδήποτε τρίτου σε διαιτησία ή σε οποιοδήποτε αρμόδιο δικαστήριο. Συγκεκριμένα, η παρούσα εγγυητική επιστολή καταπίπτει υπέρ του Ειδικού Λογαριασμού Α.Π.Ε., Σ.Η.Θ.Υ.Α. και Αποθήκευσης Διασυνδεδεμένου Συστήματος και Δικτύου/ </w:t>
      </w:r>
      <w:proofErr w:type="spellStart"/>
      <w:r w:rsidRPr="004E7B57">
        <w:t>Υπολογαριασμού</w:t>
      </w:r>
      <w:proofErr w:type="spellEnd"/>
      <w:r w:rsidRPr="004E7B57">
        <w:t xml:space="preserve"> Συστημάτων Αποθήκευσης ηλεκτρικής ενέργειας  Υ.Λ. Σ.Α.Η.Ε. του άρθρου 143 του ν. 4001/2011, </w:t>
      </w:r>
      <w:r w:rsidR="00C67100">
        <w:t>σύμφωνα με την</w:t>
      </w:r>
      <w:r w:rsidRPr="004E7B57">
        <w:t xml:space="preserve"> παρ. 11.</w:t>
      </w:r>
      <w:r w:rsidR="007C70C2">
        <w:t>3</w:t>
      </w:r>
      <w:r w:rsidRPr="004E7B57">
        <w:t xml:space="preserve">.3 </w:t>
      </w:r>
      <w:r w:rsidR="007C70C2">
        <w:t>π</w:t>
      </w:r>
      <w:r w:rsidR="00C67100">
        <w:t>ε</w:t>
      </w:r>
      <w:r w:rsidR="007C70C2">
        <w:t xml:space="preserve">ρ. 5 της Προκήρυξης. </w:t>
      </w:r>
    </w:p>
    <w:p w14:paraId="1C84C6B1" w14:textId="77777777" w:rsidR="005E4519" w:rsidRPr="004E7B57" w:rsidRDefault="005E4519" w:rsidP="00E76414">
      <w:r w:rsidRPr="004E7B57">
        <w:t>Με την καταβολή από την Τράπεζα οποιουδήποτε ποσού συνεπεία οποιαδήποτε μερικής κατάπτωσης της παρούσας Εγγυητικής Επιστολής, μειώνεται αντίστοιχα το ποσό της παρούσας.</w:t>
      </w:r>
    </w:p>
    <w:p w14:paraId="2CC72BD3" w14:textId="10228B50" w:rsidR="005E4519" w:rsidRPr="004E7B57" w:rsidRDefault="005E4519" w:rsidP="00E76414">
      <w:pPr>
        <w:rPr>
          <w:b/>
          <w:i/>
        </w:rPr>
      </w:pPr>
      <w:r w:rsidRPr="004E7B57">
        <w:t xml:space="preserve">Η παρούσα εγγυητική επιστολή λήγει σε </w:t>
      </w:r>
      <w:r w:rsidR="00954413">
        <w:rPr>
          <w:b/>
        </w:rPr>
        <w:t>εξήντα</w:t>
      </w:r>
      <w:r w:rsidRPr="004E7B57">
        <w:rPr>
          <w:b/>
        </w:rPr>
        <w:t xml:space="preserve"> (</w:t>
      </w:r>
      <w:r w:rsidR="00954413">
        <w:rPr>
          <w:b/>
        </w:rPr>
        <w:t>60</w:t>
      </w:r>
      <w:r w:rsidRPr="004E7B57">
        <w:rPr>
          <w:b/>
        </w:rPr>
        <w:t xml:space="preserve">) </w:t>
      </w:r>
      <w:r w:rsidR="00954413">
        <w:rPr>
          <w:b/>
        </w:rPr>
        <w:t xml:space="preserve">/ εξήντα έξι (66) </w:t>
      </w:r>
      <w:r w:rsidRPr="004E7B57">
        <w:rPr>
          <w:b/>
        </w:rPr>
        <w:t>μήνες</w:t>
      </w:r>
      <w:r w:rsidRPr="004E7B57">
        <w:t xml:space="preserve">, ήτοι </w:t>
      </w:r>
      <w:r w:rsidRPr="004E7B57">
        <w:rPr>
          <w:b/>
          <w:bCs/>
        </w:rPr>
        <w:t>την …………</w:t>
      </w:r>
    </w:p>
    <w:p w14:paraId="6FE907FB" w14:textId="5584FD90" w:rsidR="005E4519" w:rsidRPr="004E7B57" w:rsidRDefault="005E4519" w:rsidP="00E76414">
      <w:r w:rsidRPr="004E7B57">
        <w:t xml:space="preserve">Το σώμα της εγγυητικής επιστολής θα πρέπει να μας επιστραφεί εάν ο Επιλεγείς Συμμετέχων προσκομίσει </w:t>
      </w:r>
      <w:r w:rsidR="00370D27" w:rsidRPr="004E7B57">
        <w:t xml:space="preserve"> </w:t>
      </w:r>
      <w:r w:rsidR="00370D27" w:rsidRPr="004E7B57">
        <w:lastRenderedPageBreak/>
        <w:t xml:space="preserve">νέα </w:t>
      </w:r>
      <w:r w:rsidRPr="004E7B57">
        <w:t xml:space="preserve">Εγγυητική Επιστολή  Καλής Λειτουργίας  βάσει των </w:t>
      </w:r>
      <w:proofErr w:type="spellStart"/>
      <w:r w:rsidRPr="004E7B57">
        <w:t>οριζομένων</w:t>
      </w:r>
      <w:proofErr w:type="spellEnd"/>
      <w:r w:rsidRPr="004E7B57">
        <w:t xml:space="preserve"> στην παρά</w:t>
      </w:r>
      <w:r w:rsidRPr="000D19AF">
        <w:t xml:space="preserve">γραφο </w:t>
      </w:r>
      <w:r w:rsidR="00954413" w:rsidRPr="000D19AF">
        <w:t xml:space="preserve">11.3.3. </w:t>
      </w:r>
      <w:r w:rsidRPr="000D19AF">
        <w:t>της Προκήρυξης</w:t>
      </w:r>
      <w:r w:rsidRPr="004E7B57">
        <w:t>.</w:t>
      </w:r>
    </w:p>
    <w:p w14:paraId="59E40937" w14:textId="77777777" w:rsidR="005E4519" w:rsidRPr="004E7B57" w:rsidRDefault="005E4519" w:rsidP="00E76414">
      <w:r w:rsidRPr="004E7B57">
        <w:t xml:space="preserve">Η υποχρέωσή μας δυνάμει της παρούσας εγγύησης θα παραμείνει σε πλήρη ισχύ και δεν θεωρείται ότι απαλλαχτήκαμε αυτής λόγω οποιασδήποτε πράξης, παράλειψης ή γεγονότος το οποίο, ελλείψει της παρούσας διάταξης, θα ήταν δυνατό να οδηγήσει στην ελευθέρωσή μας από τις υποχρεώσεις μας, που απορρέουν από την παρούσα εγγύηση, εν </w:t>
      </w:r>
      <w:proofErr w:type="spellStart"/>
      <w:r w:rsidRPr="004E7B57">
        <w:t>όλω</w:t>
      </w:r>
      <w:proofErr w:type="spellEnd"/>
      <w:r w:rsidRPr="004E7B57">
        <w:t xml:space="preserve"> ή εν μέρει, περιλαμβανομένων ενδεικτικά, και ανεξάρτητα από το αν έχουμε ή έχετε λάβει γνώση των ακολούθων: α. πτώχευση, αναγκαστική διαχείριση, λύση και θέση σε εκκαθάριση σε περίπτωση Εταιρείας, διαδικασία συνδιαλλαγής ή εξυγίανσης, β. οποιαδήποτε παράταση, παραίτηση ή ευκολία δοθεί υπέρ της Εταιρείας ή οποιουδήποτε τρίτου, γ. ύπαρξη </w:t>
      </w:r>
      <w:proofErr w:type="spellStart"/>
      <w:r w:rsidRPr="004E7B57">
        <w:t>δικαιώματοςσυμψηφισμού</w:t>
      </w:r>
      <w:proofErr w:type="spellEnd"/>
      <w:r w:rsidRPr="004E7B57">
        <w:t xml:space="preserve"> ή επισχέσεως </w:t>
      </w:r>
      <w:proofErr w:type="spellStart"/>
      <w:r w:rsidRPr="004E7B57">
        <w:t>ερειδόμενου</w:t>
      </w:r>
      <w:proofErr w:type="spellEnd"/>
      <w:r w:rsidRPr="004E7B57">
        <w:t xml:space="preserve"> σε οποιασδήποτε φύσεως απαίτηση της Εταιρείας (ή του φυσικού προσώπου) ή τρίτου εναντίον σας.</w:t>
      </w:r>
    </w:p>
    <w:p w14:paraId="1C426584" w14:textId="77777777" w:rsidR="005E4519" w:rsidRDefault="005E4519" w:rsidP="00E76414">
      <w:r w:rsidRPr="004E7B57">
        <w:t xml:space="preserve">Η παρούσα εγγύηση και όλα τα σχετικά με αυτήν ζητήματα </w:t>
      </w:r>
      <w:proofErr w:type="spellStart"/>
      <w:r w:rsidRPr="004E7B57">
        <w:t>διέπονται</w:t>
      </w:r>
      <w:proofErr w:type="spellEnd"/>
      <w:r w:rsidRPr="004E7B57">
        <w:t xml:space="preserve"> από το Ελληνικό Δίκαιο και με την παρούσα η Τράπεζά μας αποδέχεται ανέκκλητα την αρμοδιότητα των δικαστηρίων της Αθήνας. Σημειώστε παρακαλούμε, ότι το συνολικό ποσό των Εγγυητικών Επιστολών, που χορήγησε η Τράπεζά μας και είναι σε ισχύ, συμπεριλαμβανομένης και της παρούσας δεν υπερβαίνει το καθορισμένο από την ισχύουσα νομοθεσία για την Τράπεζά μας όριο.</w:t>
      </w:r>
    </w:p>
    <w:p w14:paraId="5A9A6BD5" w14:textId="77777777" w:rsidR="00954413" w:rsidRPr="005D4AA0" w:rsidRDefault="00954413" w:rsidP="00954413">
      <w:pPr>
        <w:rPr>
          <w:sz w:val="20"/>
        </w:rPr>
      </w:pPr>
      <w:r w:rsidRPr="00DD0D87">
        <w:t xml:space="preserve">Δηλώνουμε, επίσης, ότι αντίγραφο της παρούσας Εγγυητικής Επιστολής θα υποβληθεί, εκτός από τον </w:t>
      </w:r>
      <w:r>
        <w:t>Επιλεγέντα Συμμετέχοντα</w:t>
      </w:r>
      <w:r w:rsidRPr="00DD0D87">
        <w:t>, και απευθείας από εμάς, μέσω ηλεκτρονικού ταχυδρομείου (</w:t>
      </w:r>
      <w:r w:rsidRPr="00DD0D87">
        <w:rPr>
          <w:lang w:val="en-US"/>
        </w:rPr>
        <w:t>e</w:t>
      </w:r>
      <w:r w:rsidRPr="00DD0D87">
        <w:t xml:space="preserve"> – </w:t>
      </w:r>
      <w:r w:rsidRPr="00DD0D87">
        <w:rPr>
          <w:lang w:val="en-US"/>
        </w:rPr>
        <w:t>mail</w:t>
      </w:r>
      <w:r w:rsidRPr="00DD0D87">
        <w:t xml:space="preserve">) στην ηλεκτρονική διεύθυνση </w:t>
      </w:r>
      <w:hyperlink r:id="rId26" w:history="1">
        <w:r w:rsidRPr="00DD0D87">
          <w:rPr>
            <w:rStyle w:val="-"/>
            <w:lang w:val="en-US"/>
          </w:rPr>
          <w:t>guarantee</w:t>
        </w:r>
        <w:r w:rsidRPr="00DD0D87">
          <w:rPr>
            <w:rStyle w:val="-"/>
          </w:rPr>
          <w:t>@</w:t>
        </w:r>
        <w:proofErr w:type="spellStart"/>
        <w:r w:rsidRPr="00DD0D87">
          <w:rPr>
            <w:rStyle w:val="-"/>
            <w:lang w:val="en-US"/>
          </w:rPr>
          <w:t>rae</w:t>
        </w:r>
        <w:proofErr w:type="spellEnd"/>
        <w:r w:rsidRPr="00DD0D87">
          <w:rPr>
            <w:rStyle w:val="-"/>
          </w:rPr>
          <w:t>.</w:t>
        </w:r>
        <w:r w:rsidRPr="00DD0D87">
          <w:rPr>
            <w:rStyle w:val="-"/>
            <w:lang w:val="en-US"/>
          </w:rPr>
          <w:t>gr</w:t>
        </w:r>
      </w:hyperlink>
      <w:r w:rsidRPr="00BD6B9A">
        <w:rPr>
          <w:sz w:val="20"/>
        </w:rPr>
        <w:t>.</w:t>
      </w:r>
    </w:p>
    <w:p w14:paraId="3A3D26F6" w14:textId="77777777" w:rsidR="005E4519" w:rsidRPr="004E7B57" w:rsidRDefault="005E4519" w:rsidP="00E76414">
      <w:r w:rsidRPr="004E7B57">
        <w:t>Σε πίστωση των ανωτέρω η παρούσα εγγύηση υπεγράφη την ………………..</w:t>
      </w:r>
    </w:p>
    <w:p w14:paraId="570C7313" w14:textId="77777777" w:rsidR="005E4519" w:rsidRPr="004E7B57" w:rsidRDefault="005E4519" w:rsidP="00E76414">
      <w:pPr>
        <w:pStyle w:val="a3"/>
      </w:pPr>
    </w:p>
    <w:p w14:paraId="22E51BCB" w14:textId="13A7733A" w:rsidR="00B678CB" w:rsidRPr="004E7B57" w:rsidRDefault="005E4519" w:rsidP="00E76414">
      <w:pPr>
        <w:rPr>
          <w:sz w:val="24"/>
          <w:szCs w:val="24"/>
        </w:rPr>
      </w:pPr>
      <w:r w:rsidRPr="004E7B57">
        <w:t>ΥΠΟΓΡΑΦΗ &amp; ΕΠΩΝΥΜΙΑ ΤΡΑΠΕΖΑΣ</w:t>
      </w:r>
    </w:p>
    <w:p w14:paraId="158034F4" w14:textId="77777777" w:rsidR="00B678CB" w:rsidRPr="004E7B57" w:rsidRDefault="00B678CB" w:rsidP="00E76414"/>
    <w:p w14:paraId="2FFBD0A9" w14:textId="0636DC53" w:rsidR="00861FC1" w:rsidRPr="004E7B57" w:rsidRDefault="00F1093A" w:rsidP="00E352A0">
      <w:pPr>
        <w:tabs>
          <w:tab w:val="clear" w:pos="1189"/>
        </w:tabs>
        <w:spacing w:after="0" w:line="240" w:lineRule="auto"/>
        <w:ind w:right="0"/>
        <w:jc w:val="left"/>
      </w:pPr>
      <w:r>
        <w:br w:type="page"/>
      </w:r>
    </w:p>
    <w:p w14:paraId="39645DEF" w14:textId="0EB44B2E" w:rsidR="000546D5" w:rsidRPr="00717B8C" w:rsidRDefault="00856EDC" w:rsidP="00717B8C">
      <w:pPr>
        <w:jc w:val="center"/>
        <w:rPr>
          <w:b/>
          <w:bCs/>
        </w:rPr>
      </w:pPr>
      <w:r w:rsidRPr="00717B8C">
        <w:rPr>
          <w:b/>
          <w:bCs/>
        </w:rPr>
        <w:lastRenderedPageBreak/>
        <w:t>ΠΑΡΑΡΤΗΜΑ ΣΤ</w:t>
      </w:r>
    </w:p>
    <w:p w14:paraId="1F3DF7C2" w14:textId="2311C696" w:rsidR="00E853BD" w:rsidRPr="00717B8C" w:rsidRDefault="003D48DE" w:rsidP="00717B8C">
      <w:pPr>
        <w:jc w:val="center"/>
        <w:rPr>
          <w:b/>
          <w:bCs/>
        </w:rPr>
      </w:pPr>
      <w:r w:rsidRPr="00717B8C">
        <w:rPr>
          <w:b/>
          <w:bCs/>
        </w:rPr>
        <w:t xml:space="preserve">Υπόδειγμα Υπεύθυνης Δήλωσης Επιλεγέντος Συμμετέχοντα περί (α) Επιστροφής Εγγυητικής Επιστολής Συμμετοχής και Κατάθεσης Εγγυητικής Επιστολής </w:t>
      </w:r>
      <w:r w:rsidR="0026596F" w:rsidRPr="00717B8C">
        <w:rPr>
          <w:b/>
          <w:bCs/>
        </w:rPr>
        <w:t>Έντεχνης και Έγκαιρης</w:t>
      </w:r>
      <w:r w:rsidR="00E853BD" w:rsidRPr="00717B8C">
        <w:rPr>
          <w:b/>
          <w:bCs/>
        </w:rPr>
        <w:t xml:space="preserve"> </w:t>
      </w:r>
      <w:r w:rsidR="00AD22DD" w:rsidRPr="00717B8C">
        <w:rPr>
          <w:b/>
          <w:bCs/>
        </w:rPr>
        <w:t>Εκτέλεσης</w:t>
      </w:r>
      <w:r w:rsidRPr="00717B8C">
        <w:rPr>
          <w:b/>
          <w:bCs/>
        </w:rPr>
        <w:t xml:space="preserve"> (β) Αντικατάστασης Εγγυητικής Επιστολής </w:t>
      </w:r>
      <w:r w:rsidR="0026596F" w:rsidRPr="00717B8C">
        <w:rPr>
          <w:b/>
          <w:bCs/>
        </w:rPr>
        <w:t>Έντεχνης και Έγκαιρης</w:t>
      </w:r>
      <w:r w:rsidR="00E853BD" w:rsidRPr="00717B8C">
        <w:rPr>
          <w:b/>
          <w:bCs/>
        </w:rPr>
        <w:t xml:space="preserve"> Εκτέλεσης </w:t>
      </w:r>
      <w:r w:rsidR="005E4519" w:rsidRPr="00717B8C">
        <w:rPr>
          <w:b/>
          <w:bCs/>
        </w:rPr>
        <w:t>(γ) Επιστροφής Εγγυητικής Επιστολής Έντεχνης και Έγκαιρης Εκτέλεσης</w:t>
      </w:r>
      <w:r w:rsidR="00770C03" w:rsidRPr="00717B8C">
        <w:rPr>
          <w:b/>
          <w:bCs/>
        </w:rPr>
        <w:t xml:space="preserve"> και κατάθεσης Εγγυητικής Επιστολής Καλής Λειτουργίας </w:t>
      </w:r>
      <w:r w:rsidR="005E4519" w:rsidRPr="00717B8C">
        <w:rPr>
          <w:b/>
          <w:bCs/>
        </w:rPr>
        <w:t>(δ)</w:t>
      </w:r>
      <w:r w:rsidR="00770C03" w:rsidRPr="00717B8C">
        <w:rPr>
          <w:b/>
          <w:bCs/>
        </w:rPr>
        <w:t xml:space="preserve"> Αντικατάστασης Εγγυητικής Επιστολής Καλής Λειτουργίας</w:t>
      </w:r>
    </w:p>
    <w:p w14:paraId="52F7985E" w14:textId="1A38B1E2" w:rsidR="000546D5" w:rsidRPr="004E7B57" w:rsidRDefault="000546D5" w:rsidP="00E76414">
      <w:pPr>
        <w:pStyle w:val="a3"/>
      </w:pPr>
    </w:p>
    <w:p w14:paraId="7F9D1FBE" w14:textId="77777777" w:rsidR="000546D5" w:rsidRPr="00EB6166" w:rsidRDefault="00856EDC" w:rsidP="00427631">
      <w:pPr>
        <w:jc w:val="center"/>
        <w:rPr>
          <w:b/>
          <w:bCs/>
        </w:rPr>
      </w:pPr>
      <w:r w:rsidRPr="00EB6166">
        <w:rPr>
          <w:b/>
          <w:bCs/>
        </w:rPr>
        <w:t>ΥΠΕΥΘΥΝΗ ∆ΗΛΩΣΗ</w:t>
      </w:r>
    </w:p>
    <w:p w14:paraId="49D7B4CF" w14:textId="66A96F34" w:rsidR="000546D5" w:rsidRPr="004E7B57" w:rsidRDefault="003D48DE" w:rsidP="00E76414">
      <w:r w:rsidRPr="004E7B57">
        <w:t>(άρθρο 8 Ν.1599/1986)</w:t>
      </w:r>
    </w:p>
    <w:p w14:paraId="077E3E54" w14:textId="77777777" w:rsidR="00E853BD" w:rsidRPr="004E7B57" w:rsidRDefault="00E853BD" w:rsidP="00E76414"/>
    <w:p w14:paraId="45A80460" w14:textId="77777777" w:rsidR="000546D5" w:rsidRPr="004E7B57" w:rsidRDefault="00856EDC" w:rsidP="00E76414">
      <w:r w:rsidRPr="004E7B57">
        <w:t xml:space="preserve">Με ατομική μου ευθύνη και γνωρίζοντας τις κυρώσεις </w:t>
      </w:r>
      <w:r w:rsidRPr="004E7B57">
        <w:rPr>
          <w:vertAlign w:val="superscript"/>
        </w:rPr>
        <w:t>(3)</w:t>
      </w:r>
      <w:r w:rsidRPr="004E7B57">
        <w:t>, που προβλέπονται από τις διατάξεις της παρ. 6 του άρθρου 22 του ν. 1599/1986, δηλώνω ότι:</w:t>
      </w:r>
    </w:p>
    <w:p w14:paraId="59BCB6DB" w14:textId="247A4A8E" w:rsidR="000546D5" w:rsidRPr="004E7B57" w:rsidRDefault="00110388" w:rsidP="00E76414">
      <w:r w:rsidRPr="00A87E02">
        <w:t>Ο/Η υπογράφων/-</w:t>
      </w:r>
      <w:proofErr w:type="spellStart"/>
      <w:r w:rsidRPr="00A87E02">
        <w:t>ουσα</w:t>
      </w:r>
      <w:proofErr w:type="spellEnd"/>
      <w:r w:rsidRPr="00A87E02">
        <w:t xml:space="preserve"> την παρούσα …………………………………………. δηλώνω</w:t>
      </w:r>
      <w:r w:rsidRPr="00A87E02" w:rsidDel="00A87E02">
        <w:t xml:space="preserve"> </w:t>
      </w:r>
      <w:r>
        <w:t>ότι</w:t>
      </w:r>
      <w:r w:rsidRPr="004E7B57">
        <w:t xml:space="preserve"> </w:t>
      </w:r>
      <w:r>
        <w:t>τ</w:t>
      </w:r>
      <w:r w:rsidR="00856EDC" w:rsidRPr="004E7B57">
        <w:t>ην</w:t>
      </w:r>
      <w:r w:rsidR="00856EDC" w:rsidRPr="004E7B57">
        <w:tab/>
        <w:t>………</w:t>
      </w:r>
      <w:r w:rsidR="00856EDC" w:rsidRPr="004E7B57">
        <w:tab/>
        <w:t>20…</w:t>
      </w:r>
      <w:r w:rsidR="00856EDC" w:rsidRPr="004E7B57">
        <w:tab/>
        <w:t>για</w:t>
      </w:r>
      <w:r w:rsidR="00856EDC" w:rsidRPr="004E7B57">
        <w:tab/>
        <w:t>λογαριασμό</w:t>
      </w:r>
      <w:r w:rsidR="00856EDC" w:rsidRPr="004E7B57">
        <w:tab/>
        <w:t>του</w:t>
      </w:r>
      <w:r w:rsidR="00856EDC" w:rsidRPr="004E7B57">
        <w:tab/>
        <w:t>Επιλεγέντος</w:t>
      </w:r>
      <w:r w:rsidR="00856EDC" w:rsidRPr="004E7B57">
        <w:tab/>
        <w:t>Συμμετέχοντος</w:t>
      </w:r>
    </w:p>
    <w:p w14:paraId="37BFE38C" w14:textId="77777777" w:rsidR="000546D5" w:rsidRPr="004E7B57" w:rsidRDefault="00856EDC" w:rsidP="00E76414">
      <w:r w:rsidRPr="004E7B57">
        <w:t>«………………………………………………………………»,</w:t>
      </w:r>
    </w:p>
    <w:p w14:paraId="57895297" w14:textId="44547852" w:rsidR="000546D5" w:rsidRPr="004E7B57" w:rsidRDefault="00856EDC" w:rsidP="00E76414">
      <w:r w:rsidRPr="004E7B57">
        <w:t xml:space="preserve">(α) </w:t>
      </w:r>
      <w:r w:rsidRPr="004E7B57">
        <w:rPr>
          <w:b/>
        </w:rPr>
        <w:t xml:space="preserve">παρέλαβα </w:t>
      </w:r>
      <w:r w:rsidRPr="004E7B57">
        <w:t xml:space="preserve">από τη </w:t>
      </w:r>
      <w:r w:rsidR="00CF21E9" w:rsidRPr="004E7B57">
        <w:t>Ρ.Α.Α.Ε.Υ.</w:t>
      </w:r>
      <w:r w:rsidRPr="004E7B57">
        <w:t xml:space="preserve"> την από …... υπ’ αριθ................................. Εγγυητική Επιστολή Συμμετοχής</w:t>
      </w:r>
      <w:r w:rsidR="00770C03" w:rsidRPr="004E7B57">
        <w:t>/ Εγγυητικής Επιστολής Έντεχνης και Έγκαιρης Εκτέλεσης/ Εγγυητική Επιστολή Καλής Λειτουργίας</w:t>
      </w:r>
      <w:r w:rsidRPr="004E7B57">
        <w:t xml:space="preserve">, η οποία είχε κατατεθεί στη </w:t>
      </w:r>
      <w:r w:rsidR="00CF21E9" w:rsidRPr="004E7B57">
        <w:t>Ρ.Α.Α.Ε.Υ.</w:t>
      </w:r>
      <w:r w:rsidRPr="004E7B57">
        <w:t xml:space="preserve"> στο πλαίσιο της Ανταγωνιστικής ∆</w:t>
      </w:r>
      <w:proofErr w:type="spellStart"/>
      <w:r w:rsidRPr="004E7B57">
        <w:t>ιαδικασίας</w:t>
      </w:r>
      <w:proofErr w:type="spellEnd"/>
      <w:r w:rsidRPr="004E7B57">
        <w:t xml:space="preserve"> υποβολής προσφορών για</w:t>
      </w:r>
      <w:r w:rsidR="00110388">
        <w:t xml:space="preserve"> σταθμό αποθήκευσης ηλεκτρικής ενέργειας </w:t>
      </w:r>
      <w:r w:rsidR="00110388" w:rsidRPr="00595D45">
        <w:t>που βρίσκεται στη θέση ......... ...............της Δημοτικής Ενότητας ................. του Δήμου .............. της Περιφερειακής Ενότητας .................. της Περιφέρειας .......................,  μέγιστης ισχύος έγχυσης/ δηλούμενης ισχύος έγχυσης…………….MW και εγγυημένης χωρητικότητας /δηλούμενης χωρητικότητας …………………….</w:t>
      </w:r>
      <w:r w:rsidR="00110388" w:rsidRPr="00595D45">
        <w:rPr>
          <w:lang w:val="en-US"/>
        </w:rPr>
        <w:t>MW</w:t>
      </w:r>
      <w:r w:rsidRPr="004E7B57">
        <w:t xml:space="preserve">, δυνάμει της υπ’ αριθ. </w:t>
      </w:r>
      <w:r w:rsidR="006679CF" w:rsidRPr="004E7B57">
        <w:t>………..</w:t>
      </w:r>
      <w:r w:rsidRPr="004E7B57">
        <w:t xml:space="preserve">απόφασης και της σχετικής υπ’ </w:t>
      </w:r>
      <w:proofErr w:type="spellStart"/>
      <w:r w:rsidRPr="004E7B57">
        <w:t>αριθμ</w:t>
      </w:r>
      <w:proofErr w:type="spellEnd"/>
      <w:r w:rsidRPr="004E7B57">
        <w:t xml:space="preserve">. </w:t>
      </w:r>
      <w:r w:rsidR="00110388">
        <w:t xml:space="preserve">1/2023 </w:t>
      </w:r>
      <w:r w:rsidRPr="004E7B57">
        <w:t>Προκήρυξης, και</w:t>
      </w:r>
    </w:p>
    <w:p w14:paraId="46F560C0" w14:textId="5026E812" w:rsidR="000546D5" w:rsidRPr="004E7B57" w:rsidRDefault="00856EDC" w:rsidP="00E76414">
      <w:r w:rsidRPr="004E7B57">
        <w:t xml:space="preserve">(β) </w:t>
      </w:r>
      <w:r w:rsidRPr="00A924E6">
        <w:rPr>
          <w:b/>
          <w:bCs/>
        </w:rPr>
        <w:t>καταθέτω</w:t>
      </w:r>
      <w:r w:rsidRPr="004E7B57">
        <w:t xml:space="preserve"> την από ….. υπ’ </w:t>
      </w:r>
      <w:proofErr w:type="spellStart"/>
      <w:r w:rsidRPr="004E7B57">
        <w:t>αριθ</w:t>
      </w:r>
      <w:proofErr w:type="spellEnd"/>
      <w:r w:rsidRPr="004E7B57">
        <w:tab/>
      </w:r>
      <w:r w:rsidR="00337D03" w:rsidRPr="004E7B57">
        <w:t xml:space="preserve">Εγγυητική Επιστολή Έντεχνης και Έγκαιρης </w:t>
      </w:r>
      <w:r w:rsidR="00AD22DD" w:rsidRPr="004E7B57">
        <w:t>Εκτέλεσης</w:t>
      </w:r>
      <w:r w:rsidR="00770C03" w:rsidRPr="004E7B57">
        <w:t>/ Καλής Λειτουργίας</w:t>
      </w:r>
      <w:r w:rsidRPr="004E7B57">
        <w:t>, ως</w:t>
      </w:r>
      <w:r w:rsidR="00E853BD" w:rsidRPr="004E7B57">
        <w:t xml:space="preserve"> </w:t>
      </w:r>
      <w:r w:rsidRPr="004E7B57">
        <w:t>αντικατάσταση της ανωτέρω Εγγυητικής Επιστολής Συμμετοχής</w:t>
      </w:r>
      <w:r w:rsidR="00770C03" w:rsidRPr="004E7B57">
        <w:t>/  Εγγυητικής Επιστολής Έντεχνης και Έγκαιρης Εκτέλεσης/ Εγγυητικής Επιστολής καλής Λειτουργίας</w:t>
      </w:r>
      <w:r w:rsidRPr="004E7B57">
        <w:t xml:space="preserve"> και για την τήρηση των υποχρεώσεων του Επιλεγέντος Συμμετέχοντος , ο οποίος αναδείχθηκε δυνάμει της υπ’ </w:t>
      </w:r>
      <w:proofErr w:type="spellStart"/>
      <w:r w:rsidRPr="004E7B57">
        <w:t>αριθ</w:t>
      </w:r>
      <w:proofErr w:type="spellEnd"/>
      <w:r w:rsidRPr="004E7B57">
        <w:t xml:space="preserve">…. απόφασης της </w:t>
      </w:r>
      <w:r w:rsidR="00CF21E9" w:rsidRPr="004E7B57">
        <w:t>Ρ.Α.Α.Ε.Υ.</w:t>
      </w:r>
      <w:r w:rsidRPr="004E7B57">
        <w:t xml:space="preserve"> επί των οριστικών αποτελεσμάτων της ως άνω Ανταγωνιστικής Διαδικασίας και με σκοπό την εξασφάλιση ιδίως της εμπρόθεσμης και άρτιας</w:t>
      </w:r>
      <w:r w:rsidR="006679CF" w:rsidRPr="004E7B57">
        <w:t xml:space="preserve"> </w:t>
      </w:r>
      <w:r w:rsidRPr="004E7B57">
        <w:t>υλοποίησης και λειτουργίας</w:t>
      </w:r>
      <w:r w:rsidR="006679CF" w:rsidRPr="004E7B57">
        <w:t>………..</w:t>
      </w:r>
      <w:r w:rsidRPr="004E7B57">
        <w:t>, σύμφωνα με τους όρους της ως άνω Προκήρυξης και</w:t>
      </w:r>
    </w:p>
    <w:p w14:paraId="4E8D86C8" w14:textId="77777777" w:rsidR="000546D5" w:rsidRDefault="00856EDC" w:rsidP="00E76414">
      <w:r w:rsidRPr="004E7B57">
        <w:t xml:space="preserve">(γ) </w:t>
      </w:r>
      <w:r w:rsidRPr="00A924E6">
        <w:rPr>
          <w:b/>
          <w:bCs/>
        </w:rPr>
        <w:t>δηλώνω</w:t>
      </w:r>
      <w:r w:rsidRPr="004E7B57">
        <w:t xml:space="preserve"> ότι ουδεμία άλλη αξίωση έχω.</w:t>
      </w:r>
    </w:p>
    <w:p w14:paraId="25EC65CE" w14:textId="77777777" w:rsidR="00A924E6" w:rsidRPr="004E7B57" w:rsidRDefault="00A924E6" w:rsidP="00E76414"/>
    <w:p w14:paraId="7930EAEF" w14:textId="77777777" w:rsidR="000546D5" w:rsidRPr="004E7B57" w:rsidRDefault="00856EDC" w:rsidP="00E76414">
      <w:r w:rsidRPr="004E7B57">
        <w:t>Ή αντίστοιχα</w:t>
      </w:r>
    </w:p>
    <w:p w14:paraId="6504BD33" w14:textId="5B71FD54" w:rsidR="00E853BD" w:rsidRPr="004E7B57" w:rsidRDefault="00856EDC" w:rsidP="00E76414">
      <w:r w:rsidRPr="004E7B57">
        <w:t xml:space="preserve">(α) </w:t>
      </w:r>
      <w:r w:rsidRPr="00A924E6">
        <w:rPr>
          <w:b/>
          <w:bCs/>
        </w:rPr>
        <w:t>παρέλαβα</w:t>
      </w:r>
      <w:r w:rsidRPr="004E7B57">
        <w:t xml:space="preserve"> από τη </w:t>
      </w:r>
      <w:r w:rsidR="00CF21E9" w:rsidRPr="004E7B57">
        <w:t>Ρ.Α.Α.Ε.Υ.</w:t>
      </w:r>
      <w:r w:rsidRPr="004E7B57">
        <w:t xml:space="preserve"> την από …... υπ’ </w:t>
      </w:r>
      <w:proofErr w:type="spellStart"/>
      <w:r w:rsidRPr="004E7B57">
        <w:t>αριθ</w:t>
      </w:r>
      <w:proofErr w:type="spellEnd"/>
      <w:r w:rsidRPr="004E7B57">
        <w:tab/>
      </w:r>
      <w:r w:rsidR="00337D03" w:rsidRPr="004E7B57">
        <w:t xml:space="preserve">Εγγυητική Επιστολή Έντεχνης και Έγκαιρης </w:t>
      </w:r>
      <w:r w:rsidR="00AD22DD" w:rsidRPr="004E7B57">
        <w:t>Εκτέλεσης</w:t>
      </w:r>
      <w:r w:rsidRPr="004E7B57">
        <w:t xml:space="preserve">, η οποία είχε κατατεθεί στη </w:t>
      </w:r>
      <w:r w:rsidR="00CF21E9" w:rsidRPr="004E7B57">
        <w:t>Ρ.Α.Α.Ε.Υ.</w:t>
      </w:r>
      <w:r w:rsidRPr="004E7B57">
        <w:t xml:space="preserve"> στο πλαίσιο της Ανταγωνιστικής ∆</w:t>
      </w:r>
      <w:proofErr w:type="spellStart"/>
      <w:r w:rsidRPr="004E7B57">
        <w:t>ιαδικασίας</w:t>
      </w:r>
      <w:proofErr w:type="spellEnd"/>
      <w:r w:rsidRPr="004E7B57">
        <w:t xml:space="preserve"> υποβολής προσφορών για </w:t>
      </w:r>
      <w:r w:rsidR="006679CF" w:rsidRPr="004E7B57">
        <w:t>……….</w:t>
      </w:r>
      <w:r w:rsidRPr="004E7B57">
        <w:t xml:space="preserve">, την οποία διεξήγαγε η </w:t>
      </w:r>
      <w:r w:rsidR="00CF21E9" w:rsidRPr="004E7B57">
        <w:t>Ρ.Α.Α.Ε.Υ.</w:t>
      </w:r>
      <w:r w:rsidRPr="004E7B57">
        <w:t xml:space="preserve">, δυνάμει της υπ’ αριθ. </w:t>
      </w:r>
      <w:r w:rsidR="006679CF" w:rsidRPr="004E7B57">
        <w:t>……….</w:t>
      </w:r>
      <w:r w:rsidRPr="004E7B57">
        <w:t xml:space="preserve">απόφασης και της σχετικής υπ’ </w:t>
      </w:r>
      <w:proofErr w:type="spellStart"/>
      <w:r w:rsidRPr="004E7B57">
        <w:t>αριθμ</w:t>
      </w:r>
      <w:proofErr w:type="spellEnd"/>
      <w:r w:rsidR="006679CF" w:rsidRPr="004E7B57">
        <w:t>……………</w:t>
      </w:r>
      <w:r w:rsidRPr="004E7B57">
        <w:t>] Προκήρυξης, με σκοπό την τήρηση των υποχρεώσεων του Επιλεγέντος Συμμετέχοντος</w:t>
      </w:r>
      <w:r w:rsidR="006679CF" w:rsidRPr="004E7B57">
        <w:t>……..</w:t>
      </w:r>
      <w:r w:rsidRPr="004E7B57">
        <w:t xml:space="preserve">, ο οποίος αναδείχθηκε δυνάμει της υπ’ </w:t>
      </w:r>
      <w:proofErr w:type="spellStart"/>
      <w:r w:rsidRPr="004E7B57">
        <w:t>αριθ</w:t>
      </w:r>
      <w:proofErr w:type="spellEnd"/>
      <w:r w:rsidRPr="004E7B57">
        <w:t xml:space="preserve">…. απόφασης της </w:t>
      </w:r>
      <w:r w:rsidR="00CF21E9" w:rsidRPr="004E7B57">
        <w:t>Ρ.Α.Α.Ε.Υ.</w:t>
      </w:r>
      <w:r w:rsidRPr="004E7B57">
        <w:t xml:space="preserve"> επί των οριστικών αποτελεσμάτων της ως άνω Ανταγωνιστικής Διαδικασίας και με σκοπό την εξασφάλιση ιδίως της εμπρόθεσμης και άρτιας υλοποίησης και λειτουργίας, </w:t>
      </w:r>
      <w:r w:rsidR="006679CF" w:rsidRPr="004E7B57">
        <w:t>….</w:t>
      </w:r>
      <w:r w:rsidRPr="004E7B57">
        <w:t>σύμφωνα με τους όρους</w:t>
      </w:r>
      <w:r w:rsidR="006679CF" w:rsidRPr="004E7B57">
        <w:t xml:space="preserve"> </w:t>
      </w:r>
      <w:r w:rsidRPr="004E7B57">
        <w:t>της ως άνω Προκήρυξης και</w:t>
      </w:r>
      <w:r w:rsidR="00E853BD" w:rsidRPr="004E7B57">
        <w:t xml:space="preserve"> </w:t>
      </w:r>
    </w:p>
    <w:p w14:paraId="5AD58F41" w14:textId="3D59DBCB" w:rsidR="00E853BD" w:rsidRPr="004E7B57" w:rsidRDefault="00E853BD" w:rsidP="00E76414">
      <w:r w:rsidRPr="004E7B57">
        <w:t xml:space="preserve">β) </w:t>
      </w:r>
      <w:r w:rsidRPr="00A924E6">
        <w:rPr>
          <w:b/>
          <w:bCs/>
        </w:rPr>
        <w:t>καταθέτω</w:t>
      </w:r>
      <w:r w:rsidRPr="004E7B57">
        <w:t xml:space="preserve"> την από ….. υπ’ </w:t>
      </w:r>
      <w:proofErr w:type="spellStart"/>
      <w:r w:rsidRPr="004E7B57">
        <w:t>αριθ</w:t>
      </w:r>
      <w:proofErr w:type="spellEnd"/>
      <w:r w:rsidRPr="004E7B57">
        <w:t xml:space="preserve">………………Εγγυητική Επιστολή Καλής Λειτουργίας, ως αντικατάσταση της ανωτέρω υπ’ </w:t>
      </w:r>
      <w:proofErr w:type="spellStart"/>
      <w:r w:rsidRPr="004E7B57">
        <w:t>αριθ</w:t>
      </w:r>
      <w:proofErr w:type="spellEnd"/>
      <w:r w:rsidRPr="004E7B57">
        <w:t>…. Εγγυητικής Επιστολής Καλής Εκτέλεσης και Λειτουργίας και</w:t>
      </w:r>
    </w:p>
    <w:p w14:paraId="46F10F97" w14:textId="52A9E57B" w:rsidR="00E853BD" w:rsidRDefault="00E853BD" w:rsidP="00E76414">
      <w:r w:rsidRPr="004E7B57">
        <w:t>(γ)</w:t>
      </w:r>
      <w:r w:rsidRPr="004E7B57">
        <w:rPr>
          <w:spacing w:val="-1"/>
        </w:rPr>
        <w:t xml:space="preserve"> </w:t>
      </w:r>
      <w:r w:rsidRPr="004E7B57">
        <w:rPr>
          <w:b/>
        </w:rPr>
        <w:t>δηλώνω</w:t>
      </w:r>
      <w:r w:rsidRPr="004E7B57">
        <w:rPr>
          <w:b/>
          <w:spacing w:val="-1"/>
        </w:rPr>
        <w:t xml:space="preserve"> </w:t>
      </w:r>
      <w:r w:rsidRPr="004E7B57">
        <w:t>ότι</w:t>
      </w:r>
      <w:r w:rsidRPr="004E7B57">
        <w:rPr>
          <w:spacing w:val="-1"/>
        </w:rPr>
        <w:t xml:space="preserve"> </w:t>
      </w:r>
      <w:r w:rsidRPr="004E7B57">
        <w:t>ουδεμία</w:t>
      </w:r>
      <w:r w:rsidRPr="004E7B57">
        <w:rPr>
          <w:spacing w:val="1"/>
        </w:rPr>
        <w:t xml:space="preserve"> </w:t>
      </w:r>
      <w:r w:rsidRPr="004E7B57">
        <w:t>άλλη</w:t>
      </w:r>
      <w:r w:rsidRPr="004E7B57">
        <w:rPr>
          <w:spacing w:val="-1"/>
        </w:rPr>
        <w:t xml:space="preserve"> </w:t>
      </w:r>
      <w:r w:rsidRPr="004E7B57">
        <w:t>αξίωση έχω.</w:t>
      </w:r>
    </w:p>
    <w:p w14:paraId="1C29F7F2" w14:textId="77777777" w:rsidR="00672193" w:rsidRPr="004E7B57" w:rsidRDefault="00672193" w:rsidP="00E76414"/>
    <w:p w14:paraId="28EFFFE7" w14:textId="77777777" w:rsidR="00E853BD" w:rsidRPr="004E7B57" w:rsidRDefault="00E853BD" w:rsidP="00E76414">
      <w:r w:rsidRPr="004E7B57">
        <w:t>Ημερομηνία:</w:t>
      </w:r>
      <w:r w:rsidRPr="004E7B57">
        <w:rPr>
          <w:spacing w:val="78"/>
        </w:rPr>
        <w:t xml:space="preserve"> </w:t>
      </w:r>
      <w:r w:rsidRPr="004E7B57">
        <w:t>…../…../20…..</w:t>
      </w:r>
    </w:p>
    <w:p w14:paraId="1A3917EA" w14:textId="77777777" w:rsidR="00E853BD" w:rsidRDefault="00E853BD" w:rsidP="00E76414">
      <w:pPr>
        <w:rPr>
          <w:w w:val="95"/>
        </w:rPr>
      </w:pPr>
      <w:r w:rsidRPr="004E7B57">
        <w:rPr>
          <w:w w:val="95"/>
        </w:rPr>
        <w:t>Ο/Η</w:t>
      </w:r>
      <w:r w:rsidRPr="004E7B57">
        <w:rPr>
          <w:spacing w:val="-1"/>
          <w:w w:val="95"/>
        </w:rPr>
        <w:t xml:space="preserve"> </w:t>
      </w:r>
      <w:r w:rsidRPr="004E7B57">
        <w:rPr>
          <w:w w:val="95"/>
        </w:rPr>
        <w:t>∆</w:t>
      </w:r>
      <w:proofErr w:type="spellStart"/>
      <w:r w:rsidRPr="004E7B57">
        <w:rPr>
          <w:w w:val="95"/>
        </w:rPr>
        <w:t>ηλ</w:t>
      </w:r>
      <w:proofErr w:type="spellEnd"/>
      <w:r w:rsidRPr="004E7B57">
        <w:rPr>
          <w:w w:val="95"/>
        </w:rPr>
        <w:t>.(Υπογραφή)</w:t>
      </w:r>
    </w:p>
    <w:p w14:paraId="54F232CC" w14:textId="62F1E305" w:rsidR="00861FC1" w:rsidRPr="004E7B57" w:rsidRDefault="00861FC1" w:rsidP="00E76414">
      <w:r w:rsidRPr="004E7B57">
        <w:br w:type="page"/>
      </w:r>
    </w:p>
    <w:p w14:paraId="357E66BC" w14:textId="1A3E64B0" w:rsidR="000546D5" w:rsidRPr="00717B8C" w:rsidRDefault="00856EDC" w:rsidP="00717B8C">
      <w:pPr>
        <w:jc w:val="center"/>
        <w:rPr>
          <w:b/>
          <w:bCs/>
        </w:rPr>
      </w:pPr>
      <w:r w:rsidRPr="00717B8C">
        <w:rPr>
          <w:b/>
          <w:bCs/>
        </w:rPr>
        <w:lastRenderedPageBreak/>
        <w:t>ΠΑΡΑΡΤΗΜΑ Ζ</w:t>
      </w:r>
    </w:p>
    <w:p w14:paraId="4D381ABB" w14:textId="7B1B6245" w:rsidR="000546D5" w:rsidRPr="00717B8C" w:rsidRDefault="00856EDC" w:rsidP="00717B8C">
      <w:pPr>
        <w:jc w:val="center"/>
        <w:rPr>
          <w:b/>
          <w:bCs/>
        </w:rPr>
      </w:pPr>
      <w:r w:rsidRPr="00717B8C">
        <w:rPr>
          <w:b/>
          <w:bCs/>
        </w:rPr>
        <w:t>Υπόδειγμα Υπεύθυνης Δήλωσης Επιστροφής Εγγυητικής Επιστολής Συμμετοχής Αποκλεισθέντος Συμμετέχοντος</w:t>
      </w:r>
    </w:p>
    <w:p w14:paraId="7C664901" w14:textId="77777777" w:rsidR="000546D5" w:rsidRPr="004E7B57" w:rsidRDefault="000546D5" w:rsidP="00E76414">
      <w:pPr>
        <w:pStyle w:val="a3"/>
      </w:pPr>
    </w:p>
    <w:p w14:paraId="7B0B99BB" w14:textId="77777777" w:rsidR="000546D5" w:rsidRPr="00487370" w:rsidRDefault="00856EDC" w:rsidP="00487370">
      <w:pPr>
        <w:jc w:val="center"/>
        <w:rPr>
          <w:b/>
          <w:bCs/>
        </w:rPr>
      </w:pPr>
      <w:r w:rsidRPr="00487370">
        <w:rPr>
          <w:b/>
          <w:bCs/>
        </w:rPr>
        <w:t>ΥΠΕΥΘΥΝΗ ∆ΗΛΩΣΗ</w:t>
      </w:r>
    </w:p>
    <w:p w14:paraId="07158A35" w14:textId="160FCC18" w:rsidR="000546D5" w:rsidRPr="004E7B57" w:rsidRDefault="003D48DE" w:rsidP="00E76414">
      <w:r w:rsidRPr="004E7B57">
        <w:t>(άρθρο 8 Ν.1599/1986)</w:t>
      </w:r>
    </w:p>
    <w:p w14:paraId="6063BCB0" w14:textId="77777777" w:rsidR="000546D5" w:rsidRPr="004E7B57" w:rsidRDefault="000546D5" w:rsidP="00E76414">
      <w:pPr>
        <w:pStyle w:val="a3"/>
      </w:pPr>
    </w:p>
    <w:p w14:paraId="3C34EE72" w14:textId="5618AF74" w:rsidR="000546D5" w:rsidRPr="004E7B57" w:rsidRDefault="00856EDC" w:rsidP="00E76414">
      <w:r w:rsidRPr="004E7B57">
        <w:t>Με ατομική μου ευθύνη και γνωρίζοντας τις κυρώσεις, που προβλέπονται από τις διατάξεις της παρ. 6 του άρθρου 22 του ν. 1599/1986, δηλώνω ότι:</w:t>
      </w:r>
    </w:p>
    <w:p w14:paraId="55AC4D46" w14:textId="0B76E619" w:rsidR="000546D5" w:rsidRPr="004E7B57" w:rsidRDefault="008C21A7" w:rsidP="00E76414">
      <w:r w:rsidRPr="00A87E02">
        <w:t>Ο/Η υπογράφων/-</w:t>
      </w:r>
      <w:proofErr w:type="spellStart"/>
      <w:r w:rsidRPr="00A87E02">
        <w:t>ουσα</w:t>
      </w:r>
      <w:proofErr w:type="spellEnd"/>
      <w:r w:rsidRPr="00A87E02">
        <w:t xml:space="preserve"> την παρούσα …………………………………………. </w:t>
      </w:r>
      <w:r>
        <w:t>τ</w:t>
      </w:r>
      <w:r w:rsidR="00856EDC" w:rsidRPr="004E7B57">
        <w:t>ην…………………….</w:t>
      </w:r>
      <w:r w:rsidR="00856EDC" w:rsidRPr="004E7B57">
        <w:tab/>
        <w:t>202</w:t>
      </w:r>
      <w:r w:rsidR="00861FC1" w:rsidRPr="004E7B57">
        <w:t>3</w:t>
      </w:r>
      <w:r w:rsidR="00856EDC" w:rsidRPr="004E7B57">
        <w:tab/>
        <w:t>και</w:t>
      </w:r>
      <w:r w:rsidR="00856EDC" w:rsidRPr="004E7B57">
        <w:tab/>
        <w:t>για</w:t>
      </w:r>
      <w:r w:rsidR="00856EDC" w:rsidRPr="004E7B57">
        <w:tab/>
        <w:t>λογαριασμό</w:t>
      </w:r>
      <w:r w:rsidR="00856EDC" w:rsidRPr="004E7B57">
        <w:tab/>
        <w:t>του</w:t>
      </w:r>
      <w:r w:rsidR="00856EDC" w:rsidRPr="004E7B57">
        <w:tab/>
        <w:t>Συμμετέχοντος</w:t>
      </w:r>
    </w:p>
    <w:p w14:paraId="4E1D69AB" w14:textId="77777777" w:rsidR="000546D5" w:rsidRPr="004E7B57" w:rsidRDefault="00856EDC" w:rsidP="00E76414">
      <w:r w:rsidRPr="004E7B57">
        <w:t>«…………………………………………………………………………….»</w:t>
      </w:r>
    </w:p>
    <w:p w14:paraId="0ED76EF9" w14:textId="521F570E" w:rsidR="00E853BD" w:rsidRPr="004E7B57" w:rsidRDefault="00856EDC" w:rsidP="00E76414">
      <w:r w:rsidRPr="004E7B57">
        <w:t xml:space="preserve">(α) </w:t>
      </w:r>
      <w:r w:rsidRPr="004E7B57">
        <w:rPr>
          <w:b/>
        </w:rPr>
        <w:t xml:space="preserve">παρέλαβα </w:t>
      </w:r>
      <w:r w:rsidRPr="004E7B57">
        <w:t xml:space="preserve">από τη </w:t>
      </w:r>
      <w:r w:rsidR="00CF21E9" w:rsidRPr="004E7B57">
        <w:t>Ρ.Α.Α.Ε.Υ.</w:t>
      </w:r>
      <w:r w:rsidRPr="004E7B57">
        <w:t xml:space="preserve"> την από …........ υπ’ </w:t>
      </w:r>
      <w:proofErr w:type="spellStart"/>
      <w:r w:rsidRPr="004E7B57">
        <w:t>αριθ</w:t>
      </w:r>
      <w:proofErr w:type="spellEnd"/>
      <w:r w:rsidRPr="004E7B57">
        <w:t xml:space="preserve"> ..........Εγγυητική Επιστολή Συμμετοχής, η οποία είχε κατατεθεί στη </w:t>
      </w:r>
      <w:r w:rsidR="00CF21E9" w:rsidRPr="004E7B57">
        <w:t>Ρ.Α.Α.Ε.Υ.</w:t>
      </w:r>
      <w:r w:rsidRPr="004E7B57">
        <w:t xml:space="preserve"> στο πλαίσιο της Ανταγωνιστικής ∆</w:t>
      </w:r>
      <w:proofErr w:type="spellStart"/>
      <w:r w:rsidRPr="004E7B57">
        <w:t>ιαδικασίας</w:t>
      </w:r>
      <w:proofErr w:type="spellEnd"/>
      <w:r w:rsidRPr="004E7B57">
        <w:t xml:space="preserve"> υποβολής προσφορών για</w:t>
      </w:r>
      <w:r w:rsidR="008C21A7">
        <w:t xml:space="preserve"> σταθμό αποθήκευσης ηλεκτρικής ενέργειας </w:t>
      </w:r>
      <w:r w:rsidR="008C21A7" w:rsidRPr="00595D45">
        <w:t>που βρίσκεται στη θέση ......... ...............της Δημοτικής Ενότητας ................. του Δήμου .............. της Περιφερειακής Ενότητας .................. της Περιφέρειας .......................,  μέγιστης ισχύος έγχυσης/ δηλούμενης ισχύος έγχυσης…………….MW και εγγυημένης χωρητικότητας /δηλούμενης χωρητικότητας …………………….</w:t>
      </w:r>
      <w:r w:rsidR="008C21A7" w:rsidRPr="00595D45">
        <w:rPr>
          <w:lang w:val="en-US"/>
        </w:rPr>
        <w:t>MW</w:t>
      </w:r>
      <w:r w:rsidR="006679CF" w:rsidRPr="004E7B57">
        <w:t>……….</w:t>
      </w:r>
      <w:r w:rsidRPr="004E7B57">
        <w:t xml:space="preserve">, την οποία διεξήγαγε η </w:t>
      </w:r>
      <w:r w:rsidR="00CF21E9" w:rsidRPr="004E7B57">
        <w:t>Ρ.Α.Α.Ε.Υ.</w:t>
      </w:r>
      <w:r w:rsidRPr="004E7B57">
        <w:t xml:space="preserve">, δυνάμει της υπ’ αριθ. …. </w:t>
      </w:r>
      <w:r w:rsidR="00861FC1" w:rsidRPr="004E7B57">
        <w:t xml:space="preserve">2023 </w:t>
      </w:r>
      <w:r w:rsidRPr="004E7B57">
        <w:t xml:space="preserve">απόφασης και της σχετικής υπ’ </w:t>
      </w:r>
      <w:proofErr w:type="spellStart"/>
      <w:r w:rsidRPr="004E7B57">
        <w:t>αριθμ</w:t>
      </w:r>
      <w:proofErr w:type="spellEnd"/>
      <w:r w:rsidRPr="004E7B57">
        <w:t>. […/</w:t>
      </w:r>
      <w:r w:rsidR="00861FC1" w:rsidRPr="004E7B57">
        <w:t>2023</w:t>
      </w:r>
      <w:r w:rsidRPr="004E7B57">
        <w:t>] Προκήρυξης, ως Αποκλεισθείς Συμμετέχων στην εν λόγω Ανταγωνιστική ∆</w:t>
      </w:r>
      <w:proofErr w:type="spellStart"/>
      <w:r w:rsidRPr="004E7B57">
        <w:t>ιαδικασία</w:t>
      </w:r>
      <w:proofErr w:type="spellEnd"/>
      <w:r w:rsidRPr="004E7B57">
        <w:t>, σύμφωνα με την υπ’ αριθ.</w:t>
      </w:r>
      <w:r w:rsidR="006679CF" w:rsidRPr="004E7B57">
        <w:t xml:space="preserve"> </w:t>
      </w:r>
      <w:r w:rsidRPr="004E7B57">
        <w:t xml:space="preserve">….απόφαση της </w:t>
      </w:r>
      <w:r w:rsidR="00CF21E9" w:rsidRPr="004E7B57">
        <w:t>Ρ.Α.Α.Ε.Υ.</w:t>
      </w:r>
      <w:r w:rsidRPr="004E7B57">
        <w:t xml:space="preserve"> επί των οριστικών αποτελεσμάτων της ως άνω Ανταγωνιστικής Διαδικασίας και </w:t>
      </w:r>
    </w:p>
    <w:p w14:paraId="12D4BCFD" w14:textId="77157FDE" w:rsidR="000546D5" w:rsidRPr="004E7B57" w:rsidRDefault="00856EDC" w:rsidP="00E76414">
      <w:r w:rsidRPr="004E7B57">
        <w:t xml:space="preserve">(β) </w:t>
      </w:r>
      <w:r w:rsidRPr="004E7B57">
        <w:rPr>
          <w:b/>
        </w:rPr>
        <w:t xml:space="preserve">δηλώνω </w:t>
      </w:r>
      <w:r w:rsidRPr="004E7B57">
        <w:t>ότι ουδεμία άλλη αξίωση έχω.</w:t>
      </w:r>
    </w:p>
    <w:p w14:paraId="0662E9B0" w14:textId="77777777" w:rsidR="000546D5" w:rsidRPr="004E7B57" w:rsidRDefault="000546D5" w:rsidP="00E76414">
      <w:pPr>
        <w:pStyle w:val="a3"/>
      </w:pPr>
    </w:p>
    <w:p w14:paraId="1BABCC1F" w14:textId="77777777" w:rsidR="000546D5" w:rsidRPr="004E7B57" w:rsidRDefault="00856EDC" w:rsidP="00E76414">
      <w:r w:rsidRPr="004E7B57">
        <w:t>Ημερομηνία:</w:t>
      </w:r>
    </w:p>
    <w:p w14:paraId="28C28A2B" w14:textId="77777777" w:rsidR="000546D5" w:rsidRPr="004E7B57" w:rsidRDefault="000546D5" w:rsidP="00E76414">
      <w:pPr>
        <w:pStyle w:val="a3"/>
      </w:pPr>
    </w:p>
    <w:p w14:paraId="4A3B6358" w14:textId="77777777" w:rsidR="000546D5" w:rsidRPr="004E7B57" w:rsidRDefault="00856EDC" w:rsidP="00E76414">
      <w:r w:rsidRPr="004E7B57">
        <w:t>…../…../20…..</w:t>
      </w:r>
    </w:p>
    <w:p w14:paraId="635F0AFF" w14:textId="77777777" w:rsidR="000546D5" w:rsidRPr="004E7B57" w:rsidRDefault="000546D5" w:rsidP="00E76414">
      <w:pPr>
        <w:pStyle w:val="a3"/>
      </w:pPr>
    </w:p>
    <w:p w14:paraId="5035C548" w14:textId="77777777" w:rsidR="000546D5" w:rsidRPr="004E7B57" w:rsidRDefault="00856EDC" w:rsidP="00E76414">
      <w:r w:rsidRPr="004E7B57">
        <w:t>Ο/Η ∆</w:t>
      </w:r>
      <w:proofErr w:type="spellStart"/>
      <w:r w:rsidRPr="004E7B57">
        <w:t>ηλ</w:t>
      </w:r>
      <w:proofErr w:type="spellEnd"/>
      <w:r w:rsidRPr="004E7B57">
        <w:t>. (Υπογραφή)</w:t>
      </w:r>
    </w:p>
    <w:p w14:paraId="5634D4E0" w14:textId="0C0E3696" w:rsidR="00861FC1" w:rsidRPr="004E7B57" w:rsidRDefault="00861FC1" w:rsidP="00E76414">
      <w:r w:rsidRPr="004E7B57">
        <w:br w:type="page"/>
      </w:r>
    </w:p>
    <w:p w14:paraId="2AB9FE94" w14:textId="77777777" w:rsidR="001466D7" w:rsidRPr="004E7B57" w:rsidRDefault="001466D7" w:rsidP="00E76414"/>
    <w:p w14:paraId="4A6D98C2" w14:textId="675E60F1" w:rsidR="000546D5" w:rsidRPr="00717B8C" w:rsidRDefault="00856EDC" w:rsidP="00717B8C">
      <w:pPr>
        <w:jc w:val="center"/>
        <w:rPr>
          <w:b/>
          <w:bCs/>
        </w:rPr>
      </w:pPr>
      <w:bookmarkStart w:id="22" w:name="_Hlk137542458"/>
      <w:r w:rsidRPr="00717B8C">
        <w:rPr>
          <w:b/>
          <w:bCs/>
        </w:rPr>
        <w:t>ΠΑΡΑΡΤΗΜΑ Η</w:t>
      </w:r>
      <w:r w:rsidR="0083070E" w:rsidRPr="00717B8C">
        <w:rPr>
          <w:b/>
          <w:bCs/>
        </w:rPr>
        <w:t>.</w:t>
      </w:r>
      <w:r w:rsidR="00BA68F9" w:rsidRPr="00717B8C">
        <w:rPr>
          <w:b/>
          <w:bCs/>
        </w:rPr>
        <w:t>1</w:t>
      </w:r>
    </w:p>
    <w:p w14:paraId="64F65414" w14:textId="7C867F12" w:rsidR="00E80682" w:rsidRPr="00717B8C" w:rsidRDefault="0043505A" w:rsidP="00717B8C">
      <w:pPr>
        <w:jc w:val="center"/>
        <w:rPr>
          <w:b/>
          <w:bCs/>
        </w:rPr>
      </w:pPr>
      <w:r w:rsidRPr="00717B8C">
        <w:rPr>
          <w:b/>
          <w:bCs/>
        </w:rPr>
        <w:t xml:space="preserve">ΠΡΟΔΙΑΓΡΑΦΕΣ ΕΓΚΑΤΑΣΤΑΣΗΣ, </w:t>
      </w:r>
      <w:r w:rsidR="002E30BD" w:rsidRPr="00717B8C">
        <w:rPr>
          <w:b/>
          <w:bCs/>
        </w:rPr>
        <w:t>ΑΠΟΔΟΣΗΣ ΚΑΙ ΑΣΦΑΛΕΙΑΣ</w:t>
      </w:r>
      <w:r w:rsidRPr="00717B8C">
        <w:rPr>
          <w:b/>
          <w:bCs/>
        </w:rPr>
        <w:t xml:space="preserve"> ΣΥΣΤΗΜΑΤΩΝ ΑΠΟΘΗΚΕΥΣΗΣ ΣΥΣΣΩΡΕΥΤΩΝ</w:t>
      </w:r>
    </w:p>
    <w:bookmarkEnd w:id="22"/>
    <w:p w14:paraId="3A54E18A" w14:textId="77777777" w:rsidR="00E06094" w:rsidRDefault="00E06094" w:rsidP="00E76414"/>
    <w:p w14:paraId="2D58E927" w14:textId="77777777" w:rsidR="001949FB" w:rsidRDefault="001949FB">
      <w:pPr>
        <w:tabs>
          <w:tab w:val="clear" w:pos="1189"/>
        </w:tabs>
        <w:spacing w:after="0" w:line="240" w:lineRule="auto"/>
        <w:ind w:right="0"/>
        <w:jc w:val="left"/>
      </w:pPr>
    </w:p>
    <w:p w14:paraId="4CA4BE92" w14:textId="77777777" w:rsidR="001949FB" w:rsidRDefault="001949FB">
      <w:pPr>
        <w:tabs>
          <w:tab w:val="clear" w:pos="1189"/>
        </w:tabs>
        <w:spacing w:after="0" w:line="240" w:lineRule="auto"/>
        <w:ind w:right="0"/>
        <w:jc w:val="left"/>
      </w:pPr>
    </w:p>
    <w:p w14:paraId="678F9DAB" w14:textId="77777777" w:rsidR="001949FB" w:rsidRDefault="001949FB">
      <w:pPr>
        <w:tabs>
          <w:tab w:val="clear" w:pos="1189"/>
        </w:tabs>
        <w:spacing w:after="0" w:line="240" w:lineRule="auto"/>
        <w:ind w:right="0"/>
        <w:jc w:val="left"/>
        <w:sectPr w:rsidR="001949FB" w:rsidSect="003212AB">
          <w:pgSz w:w="11906" w:h="16838" w:code="9"/>
          <w:pgMar w:top="720" w:right="720" w:bottom="720" w:left="720" w:header="677" w:footer="0" w:gutter="0"/>
          <w:cols w:space="720"/>
          <w:docGrid w:linePitch="299"/>
        </w:sectPr>
      </w:pPr>
    </w:p>
    <w:p w14:paraId="355B3EFF" w14:textId="77777777" w:rsidR="006C296B" w:rsidRPr="006C296B" w:rsidRDefault="006C296B" w:rsidP="006C296B">
      <w:pPr>
        <w:widowControl/>
        <w:tabs>
          <w:tab w:val="clear" w:pos="1189"/>
        </w:tabs>
        <w:autoSpaceDE/>
        <w:autoSpaceDN/>
        <w:spacing w:after="0" w:line="240" w:lineRule="auto"/>
        <w:ind w:right="0"/>
        <w:contextualSpacing/>
        <w:jc w:val="center"/>
        <w:rPr>
          <w:rFonts w:ascii="Calibri Light" w:hAnsi="Calibri Light" w:cs="Times New Roman"/>
          <w:spacing w:val="-10"/>
          <w:kern w:val="28"/>
          <w:sz w:val="56"/>
          <w:szCs w:val="56"/>
          <w:lang w:val="en-US"/>
        </w:rPr>
      </w:pPr>
      <w:r w:rsidRPr="006C296B">
        <w:rPr>
          <w:rFonts w:ascii="Calibri Light" w:hAnsi="Calibri Light" w:cs="Times New Roman"/>
          <w:spacing w:val="-10"/>
          <w:kern w:val="28"/>
          <w:sz w:val="56"/>
          <w:szCs w:val="56"/>
          <w:lang w:val="en-US"/>
        </w:rPr>
        <w:lastRenderedPageBreak/>
        <w:t xml:space="preserve">Installation, Performance and Safety Specifications of Battery Energy Storage Systems (BESS) </w:t>
      </w:r>
    </w:p>
    <w:p w14:paraId="088C8E77" w14:textId="77777777" w:rsidR="006C296B" w:rsidRPr="006C296B" w:rsidRDefault="006C296B" w:rsidP="006C296B">
      <w:pPr>
        <w:widowControl/>
        <w:tabs>
          <w:tab w:val="clear" w:pos="1189"/>
        </w:tabs>
        <w:autoSpaceDE/>
        <w:autoSpaceDN/>
        <w:spacing w:after="160" w:line="259" w:lineRule="auto"/>
        <w:ind w:right="0"/>
        <w:jc w:val="left"/>
        <w:rPr>
          <w:rFonts w:ascii="Calibri" w:eastAsia="Calibri" w:hAnsi="Calibri" w:cs="Arial"/>
          <w:lang w:val="en-US"/>
        </w:rPr>
      </w:pPr>
    </w:p>
    <w:p w14:paraId="535C7481" w14:textId="77777777" w:rsidR="006C296B" w:rsidRPr="006C296B" w:rsidRDefault="006C296B" w:rsidP="00E67595">
      <w:pPr>
        <w:widowControl/>
        <w:numPr>
          <w:ilvl w:val="0"/>
          <w:numId w:val="19"/>
        </w:numPr>
        <w:tabs>
          <w:tab w:val="clear" w:pos="1189"/>
        </w:tabs>
        <w:autoSpaceDE/>
        <w:autoSpaceDN/>
        <w:spacing w:after="160" w:line="259" w:lineRule="auto"/>
        <w:ind w:right="0"/>
        <w:jc w:val="left"/>
        <w:rPr>
          <w:rFonts w:ascii="Calibri" w:eastAsia="Calibri" w:hAnsi="Calibri" w:cs="Arial"/>
          <w:b/>
          <w:bCs/>
          <w:lang w:val="en-US"/>
        </w:rPr>
      </w:pPr>
      <w:r w:rsidRPr="006C296B">
        <w:rPr>
          <w:rFonts w:ascii="Calibri" w:eastAsia="Calibri" w:hAnsi="Calibri" w:cs="Arial"/>
          <w:b/>
          <w:bCs/>
          <w:lang w:val="en-US"/>
        </w:rPr>
        <w:t>Installation specifications</w:t>
      </w:r>
    </w:p>
    <w:p w14:paraId="1CEE50FB"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The PoC (point of connection) of BESS to the Greek electrical Transmission System will be located at the HV level and specifically at the HV bay of an HV/MV substation, feeding the corresponding HV/MV power transformer.</w:t>
      </w:r>
    </w:p>
    <w:p w14:paraId="7DA57809"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BESS installation yard will be independent from the connecting HV/MV substation, connecting them to Transmission System, although they can be installed on adjacent areas. In case of adjacent areas, the substation fence will separate them. BESS yard and substation will have also independent entries. BESS yard could be fenced together with a renewable energy resource installation.</w:t>
      </w:r>
    </w:p>
    <w:p w14:paraId="4FFADCB7"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The HV/MV transformer and the primary MV switchgear connecting BESS to Transmission System will be always located in the HV/MV substation, whereas the secondary MV switchgear and the MV/LV transformers will be always located in the BESS installation area. </w:t>
      </w:r>
    </w:p>
    <w:p w14:paraId="65F2449A"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The AC and DC auxiliary power needed for BESS installation will be independent from the auxiliary power of the connecting HV/MV substation. No common low voltage busbars, transformers or chargers are allowed.</w:t>
      </w:r>
    </w:p>
    <w:p w14:paraId="1A3EA5E8"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Electrical disconnecting switches shall be available at both sides of transformers and PCS (power conversion system) units, providing safety during maintenance.</w:t>
      </w:r>
    </w:p>
    <w:p w14:paraId="706F8693"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The earthing grid of the HV/MV substation will be also independent from BESS earthing, unless the two installations are adjacent. In this case connections between the two earthing systems are allowed, following approval from the Transmission Operator.</w:t>
      </w:r>
    </w:p>
    <w:p w14:paraId="018AB8AE"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Hazardous live parts of BESS shall be protected to avoid risk of electric shock and arc flash, including during erection and commissioning. BESS insulation, electric shock protection and earthing shall follow the provisions of IEC 62933-5-2 and IEC 61936-1. Also, the provisions of IEC 60364 series shall be followed, especially of IEC 60364-4-41. Alternatively, equivalent UL/IEEE standards can be followed. Resistance measurement of earthing shall be performed after installation, with the earthing system isolated from installations outside of BESS yard (</w:t>
      </w:r>
      <w:proofErr w:type="gramStart"/>
      <w:r w:rsidRPr="006C296B">
        <w:rPr>
          <w:rFonts w:ascii="Calibri" w:eastAsia="Calibri" w:hAnsi="Calibri" w:cs="Arial"/>
          <w:lang w:val="en-US"/>
        </w:rPr>
        <w:t>e.g.</w:t>
      </w:r>
      <w:proofErr w:type="gramEnd"/>
      <w:r w:rsidRPr="006C296B">
        <w:rPr>
          <w:rFonts w:ascii="Calibri" w:eastAsia="Calibri" w:hAnsi="Calibri" w:cs="Arial"/>
          <w:lang w:val="en-US"/>
        </w:rPr>
        <w:t xml:space="preserve"> isolated from HV/MV substation). </w:t>
      </w:r>
    </w:p>
    <w:p w14:paraId="41DBA7AE"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A multi-level electrical protection system shall be installed, providing at least over-current protection, as well as earth-fault detection in isolated (IT) systems or earth-fault protection in earthed (TN) systems. As far as possible, protection coordination shall be provided and documented. For the design, </w:t>
      </w:r>
      <w:proofErr w:type="gramStart"/>
      <w:r w:rsidRPr="006C296B">
        <w:rPr>
          <w:rFonts w:ascii="Calibri" w:eastAsia="Calibri" w:hAnsi="Calibri" w:cs="Arial"/>
          <w:lang w:val="en-US"/>
        </w:rPr>
        <w:t>erection</w:t>
      </w:r>
      <w:proofErr w:type="gramEnd"/>
      <w:r w:rsidRPr="006C296B">
        <w:rPr>
          <w:rFonts w:ascii="Calibri" w:eastAsia="Calibri" w:hAnsi="Calibri" w:cs="Arial"/>
          <w:lang w:val="en-US"/>
        </w:rPr>
        <w:t xml:space="preserve"> and commissioning of the electrical system of BESS, the provisions of IEC 62485-2 shall be followed. Also, the provisions of IEC 60364 series shall be followed, especially of IEC 60364-4-43, IEC </w:t>
      </w:r>
      <w:proofErr w:type="gramStart"/>
      <w:r w:rsidRPr="006C296B">
        <w:rPr>
          <w:rFonts w:ascii="Calibri" w:eastAsia="Calibri" w:hAnsi="Calibri" w:cs="Arial"/>
          <w:lang w:val="en-US"/>
        </w:rPr>
        <w:t>60364-5-53</w:t>
      </w:r>
      <w:proofErr w:type="gramEnd"/>
      <w:r w:rsidRPr="006C296B">
        <w:rPr>
          <w:rFonts w:ascii="Calibri" w:eastAsia="Calibri" w:hAnsi="Calibri" w:cs="Arial"/>
          <w:lang w:val="en-US"/>
        </w:rPr>
        <w:t xml:space="preserve"> and IEC 60364-5-57. Alternatively, equivalent UL/IEEE standards can be followed.</w:t>
      </w:r>
    </w:p>
    <w:p w14:paraId="22BC8818"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ESMS (energy storage management system) of BESS will be independent from the control and protection system of the HV/MV substation.</w:t>
      </w:r>
    </w:p>
    <w:p w14:paraId="35BDC368"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Clearance and fire-resistant barriers of transformers to other equipment shall follow IEC 61936-1 or equivalent UL/IEEE standards. </w:t>
      </w:r>
    </w:p>
    <w:p w14:paraId="4BFE3995"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Outdoor and indoor emergency lighting shall be installed.</w:t>
      </w:r>
    </w:p>
    <w:p w14:paraId="72F3E9EF"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lastRenderedPageBreak/>
        <w:t xml:space="preserve">Requirements regarding emission and immunity EMC levels shall follow IEC 61000-6-2, IEC </w:t>
      </w:r>
      <w:proofErr w:type="gramStart"/>
      <w:r w:rsidRPr="006C296B">
        <w:rPr>
          <w:rFonts w:ascii="Calibri" w:eastAsia="Calibri" w:hAnsi="Calibri" w:cs="Arial"/>
          <w:lang w:val="en-US"/>
        </w:rPr>
        <w:t>61000-6-4</w:t>
      </w:r>
      <w:proofErr w:type="gramEnd"/>
      <w:r w:rsidRPr="006C296B">
        <w:rPr>
          <w:rFonts w:ascii="Calibri" w:eastAsia="Calibri" w:hAnsi="Calibri" w:cs="Arial"/>
          <w:lang w:val="en-US"/>
        </w:rPr>
        <w:t xml:space="preserve"> or equivalent UL/IEEE standards.</w:t>
      </w:r>
    </w:p>
    <w:p w14:paraId="126269BE"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All equipment of BESS (converters, transformers, battery modules) shall be type and routine tested, following the relevant IEC equipment standards and IEC 62933-5-2. Alternatively, they can follow equivalent UL/IEEE standards.</w:t>
      </w:r>
    </w:p>
    <w:p w14:paraId="647F517F" w14:textId="77777777" w:rsidR="006C296B" w:rsidRPr="006C296B" w:rsidRDefault="006C296B" w:rsidP="00E67595">
      <w:pPr>
        <w:widowControl/>
        <w:numPr>
          <w:ilvl w:val="0"/>
          <w:numId w:val="22"/>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During commissioning, the specified by manufacturer initial charging and initial discharge/charge cycle shall be performed, </w:t>
      </w:r>
      <w:proofErr w:type="gramStart"/>
      <w:r w:rsidRPr="006C296B">
        <w:rPr>
          <w:rFonts w:ascii="Calibri" w:eastAsia="Calibri" w:hAnsi="Calibri" w:cs="Arial"/>
          <w:lang w:val="en-US"/>
        </w:rPr>
        <w:t>in order to</w:t>
      </w:r>
      <w:proofErr w:type="gramEnd"/>
      <w:r w:rsidRPr="006C296B">
        <w:rPr>
          <w:rFonts w:ascii="Calibri" w:eastAsia="Calibri" w:hAnsi="Calibri" w:cs="Arial"/>
          <w:lang w:val="en-US"/>
        </w:rPr>
        <w:t xml:space="preserve"> achieve guaranteed energy capacity, prolong battery lifetime and set correctly the SoC (state of charge) measurement.</w:t>
      </w:r>
    </w:p>
    <w:p w14:paraId="03666D2D" w14:textId="77777777" w:rsidR="006C296B" w:rsidRPr="006C296B" w:rsidRDefault="006C296B" w:rsidP="006C296B">
      <w:pPr>
        <w:widowControl/>
        <w:tabs>
          <w:tab w:val="clear" w:pos="1189"/>
        </w:tabs>
        <w:autoSpaceDE/>
        <w:autoSpaceDN/>
        <w:spacing w:after="160" w:line="259" w:lineRule="auto"/>
        <w:ind w:right="0"/>
        <w:rPr>
          <w:rFonts w:ascii="Calibri" w:eastAsia="Calibri" w:hAnsi="Calibri" w:cs="Arial"/>
          <w:lang w:val="en-US"/>
        </w:rPr>
      </w:pPr>
    </w:p>
    <w:p w14:paraId="0B770A61" w14:textId="77777777" w:rsidR="006C296B" w:rsidRPr="006C296B" w:rsidRDefault="006C296B" w:rsidP="00E67595">
      <w:pPr>
        <w:widowControl/>
        <w:numPr>
          <w:ilvl w:val="0"/>
          <w:numId w:val="19"/>
        </w:numPr>
        <w:tabs>
          <w:tab w:val="clear" w:pos="1189"/>
        </w:tabs>
        <w:autoSpaceDE/>
        <w:autoSpaceDN/>
        <w:spacing w:after="160" w:line="259" w:lineRule="auto"/>
        <w:ind w:right="0"/>
        <w:rPr>
          <w:rFonts w:ascii="Calibri" w:eastAsia="Calibri" w:hAnsi="Calibri" w:cs="Arial"/>
          <w:b/>
          <w:bCs/>
          <w:lang w:val="en-US"/>
        </w:rPr>
      </w:pPr>
      <w:r w:rsidRPr="006C296B">
        <w:rPr>
          <w:rFonts w:ascii="Calibri" w:eastAsia="Calibri" w:hAnsi="Calibri" w:cs="Arial"/>
          <w:b/>
          <w:bCs/>
          <w:lang w:val="en-US"/>
        </w:rPr>
        <w:t>Performance specifications</w:t>
      </w:r>
    </w:p>
    <w:p w14:paraId="70D5D319" w14:textId="77777777" w:rsidR="006C296B" w:rsidRPr="006C296B" w:rsidRDefault="006C296B" w:rsidP="00E67595">
      <w:pPr>
        <w:widowControl/>
        <w:numPr>
          <w:ilvl w:val="0"/>
          <w:numId w:val="20"/>
        </w:numPr>
        <w:tabs>
          <w:tab w:val="clear" w:pos="1189"/>
        </w:tabs>
        <w:autoSpaceDE/>
        <w:autoSpaceDN/>
        <w:spacing w:after="160" w:line="259" w:lineRule="auto"/>
        <w:ind w:left="851" w:right="0"/>
        <w:rPr>
          <w:rFonts w:ascii="Calibri" w:eastAsia="Calibri" w:hAnsi="Calibri" w:cs="Arial"/>
          <w:u w:val="single"/>
          <w:lang w:val="en-US"/>
        </w:rPr>
      </w:pPr>
      <w:r w:rsidRPr="006C296B">
        <w:rPr>
          <w:rFonts w:ascii="Calibri" w:eastAsia="Calibri" w:hAnsi="Calibri" w:cs="Arial"/>
          <w:u w:val="single"/>
          <w:lang w:val="en-US"/>
        </w:rPr>
        <w:t>General</w:t>
      </w:r>
    </w:p>
    <w:p w14:paraId="56105832" w14:textId="77777777" w:rsidR="006C296B" w:rsidRPr="006C296B" w:rsidRDefault="006C296B" w:rsidP="00E67595">
      <w:pPr>
        <w:widowControl/>
        <w:numPr>
          <w:ilvl w:val="0"/>
          <w:numId w:val="23"/>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BESS will be able to provide/absorb maximum export/import active power at PoC, at outdoor temperature range between - 10°C and 45°C. At high temperatures, solar radiation at noon of 1000 W/m</w:t>
      </w:r>
      <w:r w:rsidRPr="006C296B">
        <w:rPr>
          <w:rFonts w:ascii="Calibri" w:eastAsia="Calibri" w:hAnsi="Calibri" w:cs="Arial"/>
          <w:vertAlign w:val="superscript"/>
          <w:lang w:val="en-US"/>
        </w:rPr>
        <w:t>2</w:t>
      </w:r>
      <w:r w:rsidRPr="006C296B">
        <w:rPr>
          <w:rFonts w:ascii="Calibri" w:eastAsia="Calibri" w:hAnsi="Calibri" w:cs="Arial"/>
          <w:lang w:val="en-US"/>
        </w:rPr>
        <w:t xml:space="preserve"> shall be considered. At low temperatures, snow and ice conditions shall be considered. </w:t>
      </w:r>
    </w:p>
    <w:p w14:paraId="4C146894" w14:textId="77777777" w:rsidR="006C296B" w:rsidRPr="006C296B" w:rsidRDefault="006C296B" w:rsidP="00E67595">
      <w:pPr>
        <w:widowControl/>
        <w:numPr>
          <w:ilvl w:val="0"/>
          <w:numId w:val="23"/>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All performance requirements </w:t>
      </w:r>
      <w:proofErr w:type="gramStart"/>
      <w:r w:rsidRPr="006C296B">
        <w:rPr>
          <w:rFonts w:ascii="Calibri" w:eastAsia="Calibri" w:hAnsi="Calibri" w:cs="Arial"/>
          <w:lang w:val="en-US"/>
        </w:rPr>
        <w:t>i.e.</w:t>
      </w:r>
      <w:proofErr w:type="gramEnd"/>
      <w:r w:rsidRPr="006C296B">
        <w:rPr>
          <w:rFonts w:ascii="Calibri" w:eastAsia="Calibri" w:hAnsi="Calibri" w:cs="Arial"/>
          <w:lang w:val="en-US"/>
        </w:rPr>
        <w:t xml:space="preserve"> below mentioned guaranteed energy capacity, maximum export/import active power, efficiency requirements, standby energy consumption requirements and monitored operational period requirements will be referred to PoC. </w:t>
      </w:r>
    </w:p>
    <w:p w14:paraId="45FCDD9E" w14:textId="77777777" w:rsidR="006C296B" w:rsidRPr="006C296B" w:rsidRDefault="006C296B" w:rsidP="00E67595">
      <w:pPr>
        <w:widowControl/>
        <w:numPr>
          <w:ilvl w:val="0"/>
          <w:numId w:val="23"/>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The mentioned below reference conditions are meant only for declaration of performance values, not as actual operating conditions. The necessary corrections will be implemented to the measured performance values, in case of variations from reference conditions. Also, the mentioned below standby mode is meant as reference for declaration of standby energy consumption, not as obligation to operate that way. Definition of terms regarding BESS can be found in IEC 62933-1, additionally to below mentioned ones.</w:t>
      </w:r>
    </w:p>
    <w:p w14:paraId="10CEC6CD" w14:textId="77777777" w:rsidR="006C296B" w:rsidRPr="006C296B" w:rsidRDefault="006C296B" w:rsidP="00E67595">
      <w:pPr>
        <w:widowControl/>
        <w:numPr>
          <w:ilvl w:val="0"/>
          <w:numId w:val="23"/>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Maximum export active power of BESS is the maximum continuous active power at PoC, that BESS will be contracted to provide during discharge to the Transmission System, at nominal voltage. Maximum import active power of BESS is the maximum continuous active power at PoC, that BESS will be contracted to absorb during charge from the Transmission System, at nominal voltage.</w:t>
      </w:r>
    </w:p>
    <w:p w14:paraId="67AD5620" w14:textId="77777777" w:rsidR="006C296B" w:rsidRPr="006C296B" w:rsidRDefault="006C296B" w:rsidP="00E67595">
      <w:pPr>
        <w:widowControl/>
        <w:numPr>
          <w:ilvl w:val="0"/>
          <w:numId w:val="23"/>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Guaranteed energy capacity of BESS is the total energy that BESS will be contracted to be able to provide at PoC during discharge, using maximum export active power, from SoC 100% to SoC 0% (DoD 100%). The nominal time of discharge will be at least 2 hours. </w:t>
      </w:r>
    </w:p>
    <w:p w14:paraId="7FCDF78B" w14:textId="77777777" w:rsidR="006C296B" w:rsidRPr="006C296B" w:rsidRDefault="006C296B" w:rsidP="00E67595">
      <w:pPr>
        <w:widowControl/>
        <w:numPr>
          <w:ilvl w:val="0"/>
          <w:numId w:val="23"/>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During standby operating mode, with no charging or discharging of batteries, BESS shall be able to receive (and deliver) maximum import (and export) power at PoC without any intentional delay (meaning with sub-second delay) upon request. All frequency and voltage control functions will be active during this mode.</w:t>
      </w:r>
    </w:p>
    <w:p w14:paraId="1B9E7B3F" w14:textId="77777777" w:rsidR="006C296B" w:rsidRPr="006C296B" w:rsidRDefault="006C296B" w:rsidP="00E67595">
      <w:pPr>
        <w:widowControl/>
        <w:numPr>
          <w:ilvl w:val="0"/>
          <w:numId w:val="20"/>
        </w:numPr>
        <w:tabs>
          <w:tab w:val="clear" w:pos="1189"/>
        </w:tabs>
        <w:autoSpaceDE/>
        <w:autoSpaceDN/>
        <w:spacing w:after="160" w:line="259" w:lineRule="auto"/>
        <w:ind w:left="851" w:right="0"/>
        <w:rPr>
          <w:rFonts w:ascii="Calibri" w:eastAsia="Calibri" w:hAnsi="Calibri" w:cs="Arial"/>
          <w:u w:val="single"/>
          <w:lang w:val="en-US"/>
        </w:rPr>
      </w:pPr>
      <w:r w:rsidRPr="006C296B">
        <w:rPr>
          <w:rFonts w:ascii="Calibri" w:eastAsia="Calibri" w:hAnsi="Calibri" w:cs="Arial"/>
          <w:u w:val="single"/>
          <w:lang w:val="en-US"/>
        </w:rPr>
        <w:t>Round-Trip Efficiency</w:t>
      </w:r>
    </w:p>
    <w:p w14:paraId="29EADB28" w14:textId="77777777" w:rsidR="006C296B" w:rsidRPr="006C296B" w:rsidRDefault="006C296B" w:rsidP="00E67595">
      <w:pPr>
        <w:widowControl/>
        <w:numPr>
          <w:ilvl w:val="0"/>
          <w:numId w:val="24"/>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The round-trip efficiency (RTE) of BESS at PoC shall be higher or equal to 80%. </w:t>
      </w:r>
    </w:p>
    <w:p w14:paraId="31E65B02" w14:textId="77777777" w:rsidR="006C296B" w:rsidRPr="006C296B" w:rsidRDefault="006C296B" w:rsidP="00E67595">
      <w:pPr>
        <w:widowControl/>
        <w:numPr>
          <w:ilvl w:val="0"/>
          <w:numId w:val="24"/>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RTE will be given at </w:t>
      </w:r>
      <w:proofErr w:type="spellStart"/>
      <w:r w:rsidRPr="006C296B">
        <w:rPr>
          <w:rFonts w:ascii="Calibri" w:eastAsia="Calibri" w:hAnsi="Calibri" w:cs="Arial"/>
          <w:lang w:val="en-US"/>
        </w:rPr>
        <w:t>BoL</w:t>
      </w:r>
      <w:proofErr w:type="spellEnd"/>
      <w:r w:rsidRPr="006C296B">
        <w:rPr>
          <w:rFonts w:ascii="Calibri" w:eastAsia="Calibri" w:hAnsi="Calibri" w:cs="Arial"/>
          <w:lang w:val="en-US"/>
        </w:rPr>
        <w:t xml:space="preserve"> (beginning of life), meaning right after commissioning and energization of BESS. Charge and discharge will be performed with maximum import and export active power, respectively and unity power </w:t>
      </w:r>
      <w:proofErr w:type="gramStart"/>
      <w:r w:rsidRPr="006C296B">
        <w:rPr>
          <w:rFonts w:ascii="Calibri" w:eastAsia="Calibri" w:hAnsi="Calibri" w:cs="Arial"/>
          <w:lang w:val="en-US"/>
        </w:rPr>
        <w:t>factor .</w:t>
      </w:r>
      <w:proofErr w:type="gramEnd"/>
    </w:p>
    <w:p w14:paraId="6D3E2E85" w14:textId="77777777" w:rsidR="006C296B" w:rsidRPr="006C296B" w:rsidRDefault="006C296B" w:rsidP="00E67595">
      <w:pPr>
        <w:widowControl/>
        <w:numPr>
          <w:ilvl w:val="0"/>
          <w:numId w:val="24"/>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RTE will include all essential loads of BESS installation, including battery cooling system and all necessary HVAC systems for any part of the installation, emergency lighting of BESS area, BMS (battery management system) and ESMS operation. Also, the essential loads of the HV/MV substation up to PoC, will be included.</w:t>
      </w:r>
    </w:p>
    <w:p w14:paraId="058B9982" w14:textId="77777777" w:rsidR="006C296B" w:rsidRPr="006C296B" w:rsidRDefault="006C296B" w:rsidP="00E67595">
      <w:pPr>
        <w:widowControl/>
        <w:numPr>
          <w:ilvl w:val="0"/>
          <w:numId w:val="24"/>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lastRenderedPageBreak/>
        <w:t xml:space="preserve">RTE will include all transformer and converter losses. Maximum import/export power and unity power factor will be retained at PoC at nominal voltage, as a reference condition, during the whole charge/discharge cycle. </w:t>
      </w:r>
    </w:p>
    <w:p w14:paraId="578CC6FF" w14:textId="77777777" w:rsidR="006C296B" w:rsidRPr="006C296B" w:rsidRDefault="006C296B" w:rsidP="00E67595">
      <w:pPr>
        <w:widowControl/>
        <w:numPr>
          <w:ilvl w:val="0"/>
          <w:numId w:val="24"/>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RTE will be calculated with DoD (depth of discharge) 100%, meaning for one cycle with SoC from 0% to 100% and then back to 0%.</w:t>
      </w:r>
    </w:p>
    <w:p w14:paraId="4EBB1C5F" w14:textId="77777777" w:rsidR="006C296B" w:rsidRPr="006C296B" w:rsidRDefault="006C296B" w:rsidP="00E67595">
      <w:pPr>
        <w:widowControl/>
        <w:numPr>
          <w:ilvl w:val="0"/>
          <w:numId w:val="24"/>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Outdoor temperature will be taken at 25°C and solar radiation at 600 W/m</w:t>
      </w:r>
      <w:r w:rsidRPr="006C296B">
        <w:rPr>
          <w:rFonts w:ascii="Calibri" w:eastAsia="Calibri" w:hAnsi="Calibri" w:cs="Arial"/>
          <w:vertAlign w:val="superscript"/>
          <w:lang w:val="en-US"/>
        </w:rPr>
        <w:t>2</w:t>
      </w:r>
      <w:r w:rsidRPr="006C296B">
        <w:rPr>
          <w:rFonts w:ascii="Calibri" w:eastAsia="Calibri" w:hAnsi="Calibri" w:cs="Arial"/>
          <w:lang w:val="en-US"/>
        </w:rPr>
        <w:t xml:space="preserve">, as a reference condition. </w:t>
      </w:r>
    </w:p>
    <w:p w14:paraId="7B3C4C63" w14:textId="77777777" w:rsidR="006C296B" w:rsidRPr="006C296B" w:rsidRDefault="006C296B" w:rsidP="00E67595">
      <w:pPr>
        <w:widowControl/>
        <w:numPr>
          <w:ilvl w:val="0"/>
          <w:numId w:val="20"/>
        </w:numPr>
        <w:tabs>
          <w:tab w:val="clear" w:pos="1189"/>
        </w:tabs>
        <w:autoSpaceDE/>
        <w:autoSpaceDN/>
        <w:spacing w:after="160" w:line="259" w:lineRule="auto"/>
        <w:ind w:left="851" w:right="0"/>
        <w:rPr>
          <w:rFonts w:ascii="Calibri" w:eastAsia="Calibri" w:hAnsi="Calibri" w:cs="Arial"/>
          <w:u w:val="single"/>
          <w:lang w:val="en-US"/>
        </w:rPr>
      </w:pPr>
      <w:r w:rsidRPr="006C296B">
        <w:rPr>
          <w:rFonts w:ascii="Calibri" w:eastAsia="Calibri" w:hAnsi="Calibri" w:cs="Arial"/>
          <w:u w:val="single"/>
          <w:lang w:val="en-US"/>
        </w:rPr>
        <w:t xml:space="preserve"> Standby Energy Consumption, Self-Discharge</w:t>
      </w:r>
    </w:p>
    <w:p w14:paraId="534B7709" w14:textId="77777777" w:rsidR="006C296B" w:rsidRPr="006C296B" w:rsidRDefault="006C296B" w:rsidP="00E67595">
      <w:pPr>
        <w:widowControl/>
        <w:numPr>
          <w:ilvl w:val="0"/>
          <w:numId w:val="25"/>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The standby energy consumption of BESS at PoC shall be lower or equal to 0.15*C/day (C is guaranteed energy capacity).</w:t>
      </w:r>
    </w:p>
    <w:p w14:paraId="112284E4" w14:textId="77777777" w:rsidR="006C296B" w:rsidRPr="006C296B" w:rsidRDefault="006C296B" w:rsidP="00E67595">
      <w:pPr>
        <w:widowControl/>
        <w:numPr>
          <w:ilvl w:val="0"/>
          <w:numId w:val="25"/>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Standby energy consumption will include all essential auxiliary loads during standby state, as in (I) above, as a reference condition. Thermal conditioning of batteries will follow manufacturer’s specifications. Batteries and PCS will be kept in a readiness / active state</w:t>
      </w:r>
      <w:bookmarkStart w:id="23" w:name="_Hlk120874293"/>
      <w:r w:rsidRPr="006C296B">
        <w:rPr>
          <w:rFonts w:ascii="Calibri" w:eastAsia="Calibri" w:hAnsi="Calibri" w:cs="Arial"/>
          <w:lang w:val="en-US"/>
        </w:rPr>
        <w:t>, ready to supply maximum export power within one second.</w:t>
      </w:r>
      <w:bookmarkEnd w:id="23"/>
      <w:r w:rsidRPr="006C296B">
        <w:rPr>
          <w:rFonts w:ascii="Calibri" w:eastAsia="Calibri" w:hAnsi="Calibri" w:cs="Arial"/>
          <w:lang w:val="en-US"/>
        </w:rPr>
        <w:t xml:space="preserve"> This means that the thermal conditioning system will keep the batteries at recommended temperature and the PCS will have the electronic valves energized (not blocked).</w:t>
      </w:r>
    </w:p>
    <w:p w14:paraId="7450D287" w14:textId="77777777" w:rsidR="006C296B" w:rsidRPr="006C296B" w:rsidRDefault="006C296B" w:rsidP="00E67595">
      <w:pPr>
        <w:widowControl/>
        <w:numPr>
          <w:ilvl w:val="0"/>
          <w:numId w:val="25"/>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Standby energy consumption will be given at 100% SoC and it will also include the energy needed to recharge the batteries to this level, due to self-discharge.</w:t>
      </w:r>
    </w:p>
    <w:p w14:paraId="5BA96B9E" w14:textId="77777777" w:rsidR="006C296B" w:rsidRPr="006C296B" w:rsidRDefault="006C296B" w:rsidP="00E67595">
      <w:pPr>
        <w:widowControl/>
        <w:numPr>
          <w:ilvl w:val="0"/>
          <w:numId w:val="25"/>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Outdoor temperature will be taken at 35°C and solar radiation at 800 W/m</w:t>
      </w:r>
      <w:r w:rsidRPr="006C296B">
        <w:rPr>
          <w:rFonts w:ascii="Calibri" w:eastAsia="Calibri" w:hAnsi="Calibri" w:cs="Arial"/>
          <w:vertAlign w:val="superscript"/>
          <w:lang w:val="en-US"/>
        </w:rPr>
        <w:t>2</w:t>
      </w:r>
      <w:r w:rsidRPr="006C296B">
        <w:rPr>
          <w:rFonts w:ascii="Calibri" w:eastAsia="Calibri" w:hAnsi="Calibri" w:cs="Arial"/>
          <w:lang w:val="en-US"/>
        </w:rPr>
        <w:t>, as a reference condition.</w:t>
      </w:r>
    </w:p>
    <w:p w14:paraId="0D927FDE" w14:textId="77777777" w:rsidR="006C296B" w:rsidRPr="006C296B" w:rsidRDefault="006C296B" w:rsidP="00E67595">
      <w:pPr>
        <w:widowControl/>
        <w:numPr>
          <w:ilvl w:val="0"/>
          <w:numId w:val="20"/>
        </w:numPr>
        <w:tabs>
          <w:tab w:val="clear" w:pos="1189"/>
        </w:tabs>
        <w:autoSpaceDE/>
        <w:autoSpaceDN/>
        <w:spacing w:after="160" w:line="259" w:lineRule="auto"/>
        <w:ind w:left="851" w:right="0"/>
        <w:rPr>
          <w:rFonts w:ascii="Calibri" w:eastAsia="Calibri" w:hAnsi="Calibri" w:cs="Arial"/>
          <w:u w:val="single"/>
          <w:lang w:val="en-US"/>
        </w:rPr>
      </w:pPr>
      <w:r w:rsidRPr="006C296B">
        <w:rPr>
          <w:rFonts w:ascii="Calibri" w:eastAsia="Calibri" w:hAnsi="Calibri" w:cs="Arial"/>
          <w:u w:val="single"/>
          <w:lang w:val="en-US"/>
        </w:rPr>
        <w:t>Availability</w:t>
      </w:r>
    </w:p>
    <w:p w14:paraId="4840179A" w14:textId="77777777" w:rsidR="006C296B" w:rsidRPr="006C296B" w:rsidRDefault="006C296B" w:rsidP="00E67595">
      <w:pPr>
        <w:widowControl/>
        <w:numPr>
          <w:ilvl w:val="0"/>
          <w:numId w:val="26"/>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The yearly equivalent availability factor (EAF) of BESS installation at PoC shall be above or equal to 93% during the first 10 years of operation. EAF will be calculated as a 2-year mean value, for each one of the five 2-year successive periods of the 10-year operation, based on actual data. </w:t>
      </w:r>
    </w:p>
    <w:p w14:paraId="5DD65260" w14:textId="77777777" w:rsidR="006C296B" w:rsidRPr="006C296B" w:rsidRDefault="006C296B" w:rsidP="00E67595">
      <w:pPr>
        <w:widowControl/>
        <w:numPr>
          <w:ilvl w:val="0"/>
          <w:numId w:val="26"/>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The calculation of EAF shall be based on IEEE 762 definitions and types, adapted for BESS as necessary. As mentioned in the above standard, besides the forced outages or derating, any derating due to environmental conditions, as well as any derating or outage due to planned maintenance, will affect the availability value.</w:t>
      </w:r>
    </w:p>
    <w:p w14:paraId="02230824" w14:textId="77777777" w:rsidR="006C296B" w:rsidRPr="006C296B" w:rsidRDefault="006C296B" w:rsidP="00E67595">
      <w:pPr>
        <w:widowControl/>
        <w:numPr>
          <w:ilvl w:val="0"/>
          <w:numId w:val="20"/>
        </w:numPr>
        <w:tabs>
          <w:tab w:val="clear" w:pos="1189"/>
        </w:tabs>
        <w:autoSpaceDE/>
        <w:autoSpaceDN/>
        <w:spacing w:after="160" w:line="259" w:lineRule="auto"/>
        <w:ind w:left="851" w:right="0"/>
        <w:rPr>
          <w:rFonts w:ascii="Calibri" w:eastAsia="Calibri" w:hAnsi="Calibri" w:cs="Arial"/>
          <w:u w:val="single"/>
          <w:lang w:val="en-US"/>
        </w:rPr>
      </w:pPr>
      <w:r w:rsidRPr="006C296B">
        <w:rPr>
          <w:rFonts w:ascii="Calibri" w:eastAsia="Calibri" w:hAnsi="Calibri" w:cs="Arial"/>
          <w:u w:val="single"/>
          <w:lang w:val="en-US"/>
        </w:rPr>
        <w:t>Monitored Operational Period</w:t>
      </w:r>
    </w:p>
    <w:p w14:paraId="14FC09B3" w14:textId="77777777" w:rsidR="006C296B" w:rsidRPr="006C296B" w:rsidRDefault="006C296B" w:rsidP="00E67595">
      <w:pPr>
        <w:widowControl/>
        <w:numPr>
          <w:ilvl w:val="0"/>
          <w:numId w:val="27"/>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BESS capacity will be augmented, so that the minimum required guaranteed energy capacity will be retained during the first 10 years of operation. Energy capacity and RTE will be measured at the end of each one of the five 2-year successive periods of the first 10-year operation period. BESS capacity shall not fall below minimum required guaranteed energy capacity at </w:t>
      </w:r>
      <w:proofErr w:type="spellStart"/>
      <w:r w:rsidRPr="006C296B">
        <w:rPr>
          <w:rFonts w:ascii="Calibri" w:eastAsia="Calibri" w:hAnsi="Calibri" w:cs="Arial"/>
          <w:lang w:val="en-US"/>
        </w:rPr>
        <w:t>BoL</w:t>
      </w:r>
      <w:proofErr w:type="spellEnd"/>
      <w:r w:rsidRPr="006C296B">
        <w:rPr>
          <w:rFonts w:ascii="Calibri" w:eastAsia="Calibri" w:hAnsi="Calibri" w:cs="Arial"/>
          <w:lang w:val="en-US"/>
        </w:rPr>
        <w:t xml:space="preserve"> at any of the above measurements. </w:t>
      </w:r>
    </w:p>
    <w:p w14:paraId="240CC97C" w14:textId="57A92E5A" w:rsidR="006C296B" w:rsidRPr="006C296B" w:rsidRDefault="006C296B" w:rsidP="00E67595">
      <w:pPr>
        <w:widowControl/>
        <w:numPr>
          <w:ilvl w:val="0"/>
          <w:numId w:val="27"/>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There shall be enough free space on the BESS installation yard for the capacity augmentation, following calculations and guidelines from the manufacturer. There shall be free space for installation during the 10-year period for at least 25% additional capacity, calculated on the guaranteed energy capacity of BESS. </w:t>
      </w:r>
      <w:proofErr w:type="gramStart"/>
      <w:r w:rsidR="00BE5835">
        <w:rPr>
          <w:rFonts w:ascii="Calibri" w:eastAsia="Calibri" w:hAnsi="Calibri" w:cs="Arial"/>
          <w:lang w:val="en-US"/>
        </w:rPr>
        <w:t>Additionally</w:t>
      </w:r>
      <w:proofErr w:type="gramEnd"/>
      <w:r w:rsidR="00BE5835">
        <w:rPr>
          <w:rFonts w:ascii="Calibri" w:eastAsia="Calibri" w:hAnsi="Calibri" w:cs="Arial"/>
          <w:lang w:val="en-US"/>
        </w:rPr>
        <w:t xml:space="preserve"> </w:t>
      </w:r>
      <w:r w:rsidRPr="006C296B">
        <w:rPr>
          <w:rFonts w:ascii="Calibri" w:eastAsia="Calibri" w:hAnsi="Calibri" w:cs="Arial"/>
          <w:lang w:val="en-US"/>
        </w:rPr>
        <w:t>to available free space, it is permitted to install initially the necessary additional capacity, above the minimum needed (2 MWh/MW), provided that no other capacity augmentation will be needed during the 10-year period, following calculations of the manufacturer.</w:t>
      </w:r>
    </w:p>
    <w:p w14:paraId="199A6008" w14:textId="77777777" w:rsidR="006C296B" w:rsidRPr="006C296B" w:rsidRDefault="006C296B" w:rsidP="00E67595">
      <w:pPr>
        <w:widowControl/>
        <w:numPr>
          <w:ilvl w:val="0"/>
          <w:numId w:val="27"/>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RTE shall also not fall below 75% at the end of the 10-year period. RTE limit values at the end of each 2-year period shall be distributed linearly between the </w:t>
      </w:r>
      <w:proofErr w:type="spellStart"/>
      <w:r w:rsidRPr="006C296B">
        <w:rPr>
          <w:rFonts w:ascii="Calibri" w:eastAsia="Calibri" w:hAnsi="Calibri" w:cs="Arial"/>
          <w:lang w:val="en-US"/>
        </w:rPr>
        <w:t>BoL</w:t>
      </w:r>
      <w:proofErr w:type="spellEnd"/>
      <w:r w:rsidRPr="006C296B">
        <w:rPr>
          <w:rFonts w:ascii="Calibri" w:eastAsia="Calibri" w:hAnsi="Calibri" w:cs="Arial"/>
          <w:lang w:val="en-US"/>
        </w:rPr>
        <w:t xml:space="preserve"> values stated in par. B.II and the 10-year values stated in the present paragraph. RTE shall not fall below the corresponding limit value, at the end of any of the five 2-year periods.</w:t>
      </w:r>
    </w:p>
    <w:p w14:paraId="5262DF68" w14:textId="77777777" w:rsidR="006C296B" w:rsidRDefault="006C296B" w:rsidP="006C296B">
      <w:pPr>
        <w:widowControl/>
        <w:tabs>
          <w:tab w:val="clear" w:pos="1189"/>
        </w:tabs>
        <w:autoSpaceDE/>
        <w:autoSpaceDN/>
        <w:spacing w:after="160" w:line="259" w:lineRule="auto"/>
        <w:ind w:right="0"/>
        <w:rPr>
          <w:rFonts w:ascii="Calibri" w:eastAsia="Calibri" w:hAnsi="Calibri" w:cs="Arial"/>
          <w:lang w:val="en-US"/>
        </w:rPr>
      </w:pPr>
    </w:p>
    <w:p w14:paraId="3AB40F31" w14:textId="77777777" w:rsidR="006C296B" w:rsidRPr="006C296B" w:rsidRDefault="006C296B" w:rsidP="006C296B">
      <w:pPr>
        <w:widowControl/>
        <w:tabs>
          <w:tab w:val="clear" w:pos="1189"/>
        </w:tabs>
        <w:autoSpaceDE/>
        <w:autoSpaceDN/>
        <w:spacing w:after="160" w:line="259" w:lineRule="auto"/>
        <w:ind w:right="0"/>
        <w:rPr>
          <w:rFonts w:ascii="Calibri" w:eastAsia="Calibri" w:hAnsi="Calibri" w:cs="Arial"/>
          <w:lang w:val="en-US"/>
        </w:rPr>
      </w:pPr>
    </w:p>
    <w:p w14:paraId="36218414" w14:textId="77777777" w:rsidR="006C296B" w:rsidRPr="006C296B" w:rsidRDefault="006C296B" w:rsidP="00E67595">
      <w:pPr>
        <w:widowControl/>
        <w:numPr>
          <w:ilvl w:val="0"/>
          <w:numId w:val="19"/>
        </w:numPr>
        <w:tabs>
          <w:tab w:val="clear" w:pos="1189"/>
        </w:tabs>
        <w:autoSpaceDE/>
        <w:autoSpaceDN/>
        <w:spacing w:after="160" w:line="259" w:lineRule="auto"/>
        <w:ind w:right="0"/>
        <w:rPr>
          <w:rFonts w:ascii="Calibri" w:eastAsia="Calibri" w:hAnsi="Calibri" w:cs="Arial"/>
          <w:b/>
          <w:bCs/>
          <w:lang w:val="en-US"/>
        </w:rPr>
      </w:pPr>
      <w:r w:rsidRPr="006C296B">
        <w:rPr>
          <w:rFonts w:ascii="Calibri" w:eastAsia="Calibri" w:hAnsi="Calibri" w:cs="Arial"/>
          <w:b/>
          <w:bCs/>
          <w:lang w:val="en-US"/>
        </w:rPr>
        <w:lastRenderedPageBreak/>
        <w:t>Safety specifications</w:t>
      </w:r>
    </w:p>
    <w:p w14:paraId="3ED4D14D" w14:textId="77777777" w:rsidR="006C296B" w:rsidRPr="006C296B" w:rsidRDefault="006C296B" w:rsidP="006C296B">
      <w:pPr>
        <w:widowControl/>
        <w:tabs>
          <w:tab w:val="clear" w:pos="1189"/>
        </w:tabs>
        <w:autoSpaceDE/>
        <w:autoSpaceDN/>
        <w:spacing w:after="160" w:line="259" w:lineRule="auto"/>
        <w:ind w:left="360" w:right="0"/>
        <w:rPr>
          <w:rFonts w:ascii="Calibri" w:eastAsia="Calibri" w:hAnsi="Calibri" w:cs="Arial"/>
          <w:lang w:val="en-US"/>
        </w:rPr>
      </w:pPr>
      <w:r w:rsidRPr="006C296B">
        <w:rPr>
          <w:rFonts w:ascii="Calibri" w:eastAsia="Calibri" w:hAnsi="Calibri" w:cs="Arial"/>
          <w:lang w:val="en-US"/>
        </w:rPr>
        <w:t xml:space="preserve">The below mentioned safety requirements are applied to outdoor, modular installation of BESS, using Li-ion batteries in walk-in or non-walk-in containers (outdoor metallic enclosures). Different types of batteries and installations shall have equivalent requirements. Other safety requirements, not mentioned here, as well as additional definitions, will follow the provisions of NFPA 855, IEC 62933-5-2, IEC 62485-5, IEC 62619, IEC 63056, IEC 62281, IEC 62477-1, IEC 61936-1, IEC </w:t>
      </w:r>
      <w:proofErr w:type="gramStart"/>
      <w:r w:rsidRPr="006C296B">
        <w:rPr>
          <w:rFonts w:ascii="Calibri" w:eastAsia="Calibri" w:hAnsi="Calibri" w:cs="Arial"/>
          <w:lang w:val="en-US"/>
        </w:rPr>
        <w:t>60364-5-57</w:t>
      </w:r>
      <w:proofErr w:type="gramEnd"/>
      <w:r w:rsidRPr="006C296B">
        <w:rPr>
          <w:rFonts w:ascii="Calibri" w:eastAsia="Calibri" w:hAnsi="Calibri" w:cs="Arial"/>
          <w:lang w:val="en-US"/>
        </w:rPr>
        <w:t xml:space="preserve"> or equivalent UL/IEEE standards.</w:t>
      </w:r>
    </w:p>
    <w:p w14:paraId="056E4F3E" w14:textId="77777777" w:rsidR="006C296B" w:rsidRPr="006C296B" w:rsidRDefault="006C296B" w:rsidP="00E67595">
      <w:pPr>
        <w:widowControl/>
        <w:numPr>
          <w:ilvl w:val="0"/>
          <w:numId w:val="28"/>
        </w:numPr>
        <w:tabs>
          <w:tab w:val="clear" w:pos="1189"/>
        </w:tabs>
        <w:autoSpaceDE/>
        <w:autoSpaceDN/>
        <w:spacing w:after="160" w:line="259" w:lineRule="auto"/>
        <w:ind w:left="851" w:right="0"/>
        <w:rPr>
          <w:rFonts w:ascii="Calibri" w:eastAsia="Calibri" w:hAnsi="Calibri" w:cs="Arial"/>
          <w:u w:val="single"/>
          <w:lang w:val="en-US"/>
        </w:rPr>
      </w:pPr>
      <w:r w:rsidRPr="006C296B">
        <w:rPr>
          <w:rFonts w:ascii="Calibri" w:eastAsia="Calibri" w:hAnsi="Calibri" w:cs="Arial"/>
          <w:u w:val="single"/>
          <w:lang w:val="en-US"/>
        </w:rPr>
        <w:t>General</w:t>
      </w:r>
    </w:p>
    <w:p w14:paraId="73E2AFF3" w14:textId="77777777" w:rsidR="006C296B" w:rsidRPr="006C296B" w:rsidRDefault="006C296B" w:rsidP="00E67595">
      <w:pPr>
        <w:widowControl/>
        <w:numPr>
          <w:ilvl w:val="0"/>
          <w:numId w:val="2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Each battery module or rack, which is transported from factory to installation site as a unit, shall contain an impact sensor in its package. The battery modules transport packages pass the safety tests foreseen in UN 38.3, as well as IEC 62281, IEC </w:t>
      </w:r>
      <w:proofErr w:type="gramStart"/>
      <w:r w:rsidRPr="006C296B">
        <w:rPr>
          <w:rFonts w:ascii="Calibri" w:eastAsia="Calibri" w:hAnsi="Calibri" w:cs="Arial"/>
          <w:lang w:val="en-US"/>
        </w:rPr>
        <w:t>63056</w:t>
      </w:r>
      <w:proofErr w:type="gramEnd"/>
      <w:r w:rsidRPr="006C296B">
        <w:rPr>
          <w:rFonts w:ascii="Calibri" w:eastAsia="Calibri" w:hAnsi="Calibri" w:cs="Arial"/>
          <w:lang w:val="en-US"/>
        </w:rPr>
        <w:t xml:space="preserve"> or equivalent UL/IEEE standards. Battery modules stressed by heavy impact shall not be installed on site, without prior thorough testing. </w:t>
      </w:r>
    </w:p>
    <w:p w14:paraId="5A84E07B" w14:textId="77777777" w:rsidR="006C296B" w:rsidRPr="006C296B" w:rsidRDefault="006C296B" w:rsidP="00E67595">
      <w:pPr>
        <w:widowControl/>
        <w:numPr>
          <w:ilvl w:val="0"/>
          <w:numId w:val="2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Design and bracing of all equipment and structures (battery racks, fire-protection, etc.) shall be earthquake-proof according to IEC 60068-3-3, with horizontal ground acceleration (zero period acceleration - ZPA) of 3.55 m/s</w:t>
      </w:r>
      <w:r w:rsidRPr="006C296B">
        <w:rPr>
          <w:rFonts w:ascii="Calibri" w:eastAsia="Calibri" w:hAnsi="Calibri" w:cs="Arial"/>
          <w:vertAlign w:val="superscript"/>
          <w:lang w:val="en-US"/>
        </w:rPr>
        <w:t>2</w:t>
      </w:r>
      <w:r w:rsidRPr="006C296B">
        <w:rPr>
          <w:rFonts w:ascii="Calibri" w:eastAsia="Calibri" w:hAnsi="Calibri" w:cs="Arial"/>
          <w:lang w:val="en-US"/>
        </w:rPr>
        <w:t xml:space="preserve"> and vertical of 1.78 m/s</w:t>
      </w:r>
      <w:r w:rsidRPr="006C296B">
        <w:rPr>
          <w:rFonts w:ascii="Calibri" w:eastAsia="Calibri" w:hAnsi="Calibri" w:cs="Arial"/>
          <w:vertAlign w:val="superscript"/>
          <w:lang w:val="en-US"/>
        </w:rPr>
        <w:t>2</w:t>
      </w:r>
      <w:r w:rsidRPr="006C296B">
        <w:rPr>
          <w:rFonts w:ascii="Calibri" w:eastAsia="Calibri" w:hAnsi="Calibri" w:cs="Arial"/>
          <w:lang w:val="en-US"/>
        </w:rPr>
        <w:t>. Power circuits and control system circuits, including monitoring, shall remain functional after a seismic event.</w:t>
      </w:r>
    </w:p>
    <w:p w14:paraId="36A4BB68" w14:textId="77777777" w:rsidR="006C296B" w:rsidRPr="006C296B" w:rsidRDefault="006C296B" w:rsidP="00E67595">
      <w:pPr>
        <w:widowControl/>
        <w:numPr>
          <w:ilvl w:val="0"/>
          <w:numId w:val="2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If there is a flooding risk in BESS installation, the containers shall be installed on an elevated steel or concrete base, above the flooding level.</w:t>
      </w:r>
    </w:p>
    <w:p w14:paraId="68B64DC2" w14:textId="77777777" w:rsidR="006C296B" w:rsidRPr="006C296B" w:rsidRDefault="006C296B" w:rsidP="00E67595">
      <w:pPr>
        <w:widowControl/>
        <w:numPr>
          <w:ilvl w:val="0"/>
          <w:numId w:val="2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The containers shall be weatherproof, protected against corrosion according to the environment corrosivity and the distance to seashore. Their painting shall be at least for environment corrosivity C3 (medium) and it shall have durability H (high), following ISO 12944-1, -2, -5. </w:t>
      </w:r>
    </w:p>
    <w:p w14:paraId="34D20888" w14:textId="77777777" w:rsidR="006C296B" w:rsidRPr="006C296B" w:rsidRDefault="006C296B" w:rsidP="00E67595">
      <w:pPr>
        <w:widowControl/>
        <w:numPr>
          <w:ilvl w:val="0"/>
          <w:numId w:val="2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Operation and maintenance, emergency response and fire response manuals shall be available in the local central control room, following the requirements of IEC 62933-5-2. The personal protection equipment (PPE) required for normal and emergency tasks shall be also available on site.</w:t>
      </w:r>
    </w:p>
    <w:p w14:paraId="789E2950" w14:textId="77777777" w:rsidR="006C296B" w:rsidRPr="006C296B" w:rsidRDefault="006C296B" w:rsidP="00E67595">
      <w:pPr>
        <w:widowControl/>
        <w:numPr>
          <w:ilvl w:val="0"/>
          <w:numId w:val="2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A sign shall be located near the access door of all battery containers, including electrical hazard </w:t>
      </w:r>
      <w:proofErr w:type="gramStart"/>
      <w:r w:rsidRPr="006C296B">
        <w:rPr>
          <w:rFonts w:ascii="Calibri" w:eastAsia="Calibri" w:hAnsi="Calibri" w:cs="Arial"/>
          <w:lang w:val="en-US"/>
        </w:rPr>
        <w:t>icon</w:t>
      </w:r>
      <w:proofErr w:type="gramEnd"/>
      <w:r w:rsidRPr="006C296B">
        <w:rPr>
          <w:rFonts w:ascii="Calibri" w:eastAsia="Calibri" w:hAnsi="Calibri" w:cs="Arial"/>
          <w:lang w:val="en-US"/>
        </w:rPr>
        <w:t xml:space="preserve"> and stating the type of battery technology, the used fire suppression agent and that occupancy only for inspection and maintenance is allowed. Also signs on every approach direction, readable from 30m away of BESS installation yard, shall state the presence of “Li-ion battery storage system” in Greek.</w:t>
      </w:r>
    </w:p>
    <w:p w14:paraId="66A3CF15" w14:textId="77777777" w:rsidR="006C296B" w:rsidRPr="006C296B" w:rsidRDefault="006C296B" w:rsidP="00E67595">
      <w:pPr>
        <w:widowControl/>
        <w:numPr>
          <w:ilvl w:val="0"/>
          <w:numId w:val="28"/>
        </w:numPr>
        <w:tabs>
          <w:tab w:val="clear" w:pos="1189"/>
        </w:tabs>
        <w:autoSpaceDE/>
        <w:autoSpaceDN/>
        <w:spacing w:after="160" w:line="259" w:lineRule="auto"/>
        <w:ind w:left="851" w:right="0"/>
        <w:rPr>
          <w:rFonts w:ascii="Calibri" w:eastAsia="Calibri" w:hAnsi="Calibri" w:cs="Arial"/>
          <w:u w:val="single"/>
          <w:lang w:val="en-US"/>
        </w:rPr>
      </w:pPr>
      <w:r w:rsidRPr="006C296B">
        <w:rPr>
          <w:rFonts w:ascii="Calibri" w:eastAsia="Calibri" w:hAnsi="Calibri" w:cs="Arial"/>
          <w:u w:val="single"/>
          <w:lang w:val="en-US"/>
        </w:rPr>
        <w:t>Safety Distances</w:t>
      </w:r>
    </w:p>
    <w:p w14:paraId="354C3D8F" w14:textId="77777777" w:rsidR="006C296B" w:rsidRPr="006C296B" w:rsidRDefault="006C296B" w:rsidP="00E67595">
      <w:pPr>
        <w:widowControl/>
        <w:numPr>
          <w:ilvl w:val="0"/>
          <w:numId w:val="29"/>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Distance between BESS containers shall be 1m at least, but at the side having access doors the distance shall be 3m at least. BESS containers shall have walls with 1-h fire resistance. Alternatively, BESS containers without fire-resistant walls shall be located at least 6m to other containers. At any case, distance between the building or container housing the BESS central control room and other BESS containers shall be 6m at least. Battery containers (metallic enclosures) installed in contact to each other, having in total up to 100m</w:t>
      </w:r>
      <w:r w:rsidRPr="006C296B">
        <w:rPr>
          <w:rFonts w:ascii="Calibri" w:eastAsia="Calibri" w:hAnsi="Calibri" w:cs="Arial"/>
          <w:vertAlign w:val="superscript"/>
          <w:lang w:val="en-US"/>
        </w:rPr>
        <w:t>2</w:t>
      </w:r>
      <w:r w:rsidRPr="006C296B">
        <w:rPr>
          <w:rFonts w:ascii="Calibri" w:eastAsia="Calibri" w:hAnsi="Calibri" w:cs="Arial"/>
          <w:lang w:val="en-US"/>
        </w:rPr>
        <w:t xml:space="preserve"> footprint, can be regarded as one container.</w:t>
      </w:r>
    </w:p>
    <w:p w14:paraId="48E26420" w14:textId="77777777" w:rsidR="006C296B" w:rsidRPr="006C296B" w:rsidRDefault="006C296B" w:rsidP="00E67595">
      <w:pPr>
        <w:widowControl/>
        <w:numPr>
          <w:ilvl w:val="0"/>
          <w:numId w:val="29"/>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Around the complete BESS installation but inside of the fence of BESS, an access road shall exist with at least 5m width, for access of fire-fighting vehicles. At least one side of each container of the installation shall lay on a 5m width road. The 5m roads of BESS installation shall be used as escape routes also and they shall have emergency lighting. The roads shall have fire hydrants for fire-fighting use.</w:t>
      </w:r>
    </w:p>
    <w:p w14:paraId="3027FCE9" w14:textId="77777777" w:rsidR="006C296B" w:rsidRPr="006C296B" w:rsidRDefault="006C296B" w:rsidP="00E67595">
      <w:pPr>
        <w:widowControl/>
        <w:numPr>
          <w:ilvl w:val="0"/>
          <w:numId w:val="29"/>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BESS yard of installation, inside of the fence, shall be free of any combustible vegetation.</w:t>
      </w:r>
    </w:p>
    <w:p w14:paraId="091E55F5" w14:textId="77777777" w:rsidR="006C296B" w:rsidRPr="006C296B" w:rsidRDefault="006C296B" w:rsidP="00E67595">
      <w:pPr>
        <w:widowControl/>
        <w:numPr>
          <w:ilvl w:val="0"/>
          <w:numId w:val="29"/>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Battery containers in a BESS installation shall have at least 30m distance from any other occupied buildings or storing spaces of combustible materials, excluding the ones associated with the BESS installation itself and the connecting HV/MV substation.</w:t>
      </w:r>
    </w:p>
    <w:p w14:paraId="6BD44D47" w14:textId="77777777" w:rsidR="006C296B" w:rsidRPr="006C296B" w:rsidRDefault="006C296B" w:rsidP="00E67595">
      <w:pPr>
        <w:widowControl/>
        <w:numPr>
          <w:ilvl w:val="0"/>
          <w:numId w:val="29"/>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The containers housing batteries, PCS or transformers shall not be occupied during normal operation, only for maintenance reasons. Local central control systems of BESS shall be housed on a different container, </w:t>
      </w:r>
      <w:r w:rsidRPr="006C296B">
        <w:rPr>
          <w:rFonts w:ascii="Calibri" w:eastAsia="Calibri" w:hAnsi="Calibri" w:cs="Arial"/>
          <w:lang w:val="en-US"/>
        </w:rPr>
        <w:lastRenderedPageBreak/>
        <w:t>located at least 3m from other containers. The exit of the operation container shall be to a 5m width road, not facing any other container.</w:t>
      </w:r>
    </w:p>
    <w:p w14:paraId="4AA57C40" w14:textId="77777777" w:rsidR="006C296B" w:rsidRPr="006C296B" w:rsidRDefault="006C296B" w:rsidP="00E67595">
      <w:pPr>
        <w:widowControl/>
        <w:numPr>
          <w:ilvl w:val="0"/>
          <w:numId w:val="29"/>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A safety data sheet (SDS) for all included hazardous materials shall be posted within sight of the disconnecting switch in every battery container and in the local central control room of BESS. </w:t>
      </w:r>
    </w:p>
    <w:p w14:paraId="499C8CF9" w14:textId="77777777" w:rsidR="006C296B" w:rsidRPr="006C296B" w:rsidRDefault="006C296B" w:rsidP="00E67595">
      <w:pPr>
        <w:widowControl/>
        <w:numPr>
          <w:ilvl w:val="0"/>
          <w:numId w:val="28"/>
        </w:numPr>
        <w:tabs>
          <w:tab w:val="clear" w:pos="1189"/>
        </w:tabs>
        <w:autoSpaceDE/>
        <w:autoSpaceDN/>
        <w:spacing w:after="160" w:line="259" w:lineRule="auto"/>
        <w:ind w:left="851" w:right="0"/>
        <w:rPr>
          <w:rFonts w:ascii="Calibri" w:eastAsia="Calibri" w:hAnsi="Calibri" w:cs="Arial"/>
          <w:u w:val="single"/>
          <w:lang w:val="en-US"/>
        </w:rPr>
      </w:pPr>
      <w:r w:rsidRPr="006C296B">
        <w:rPr>
          <w:rFonts w:ascii="Calibri" w:eastAsia="Calibri" w:hAnsi="Calibri" w:cs="Arial"/>
          <w:u w:val="single"/>
          <w:lang w:val="en-US"/>
        </w:rPr>
        <w:t>Constructional Safety Measures</w:t>
      </w:r>
    </w:p>
    <w:p w14:paraId="15D9119D" w14:textId="77777777" w:rsidR="006C296B" w:rsidRPr="006C296B" w:rsidRDefault="006C296B" w:rsidP="00E67595">
      <w:pPr>
        <w:widowControl/>
        <w:numPr>
          <w:ilvl w:val="0"/>
          <w:numId w:val="30"/>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All air ingress openings of all containers shall have dust filters installed.</w:t>
      </w:r>
    </w:p>
    <w:p w14:paraId="43856FC1" w14:textId="77777777" w:rsidR="006C296B" w:rsidRPr="006C296B" w:rsidRDefault="006C296B" w:rsidP="00E67595">
      <w:pPr>
        <w:widowControl/>
        <w:numPr>
          <w:ilvl w:val="0"/>
          <w:numId w:val="30"/>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Battery containers shall be constructed so that no debris, </w:t>
      </w:r>
      <w:proofErr w:type="gramStart"/>
      <w:r w:rsidRPr="006C296B">
        <w:rPr>
          <w:rFonts w:ascii="Calibri" w:eastAsia="Calibri" w:hAnsi="Calibri" w:cs="Arial"/>
          <w:lang w:val="en-US"/>
        </w:rPr>
        <w:t>shrapnel</w:t>
      </w:r>
      <w:proofErr w:type="gramEnd"/>
      <w:r w:rsidRPr="006C296B">
        <w:rPr>
          <w:rFonts w:ascii="Calibri" w:eastAsia="Calibri" w:hAnsi="Calibri" w:cs="Arial"/>
          <w:lang w:val="en-US"/>
        </w:rPr>
        <w:t xml:space="preserve"> or pressure waves are ejected in case of a battery module explosion. Deflagration pressure reliefs (vents) shall be incorporated, not being directed towards walkways and roads.</w:t>
      </w:r>
    </w:p>
    <w:p w14:paraId="711D1008" w14:textId="77777777" w:rsidR="006C296B" w:rsidRPr="006C296B" w:rsidRDefault="006C296B" w:rsidP="00E67595">
      <w:pPr>
        <w:widowControl/>
        <w:numPr>
          <w:ilvl w:val="0"/>
          <w:numId w:val="30"/>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Each Li-ion battery module shall incorporate a pressure relief, preventing explosion. The battery module type shall pass the mechanical, </w:t>
      </w:r>
      <w:proofErr w:type="gramStart"/>
      <w:r w:rsidRPr="006C296B">
        <w:rPr>
          <w:rFonts w:ascii="Calibri" w:eastAsia="Calibri" w:hAnsi="Calibri" w:cs="Arial"/>
          <w:lang w:val="en-US"/>
        </w:rPr>
        <w:t>electrical</w:t>
      </w:r>
      <w:proofErr w:type="gramEnd"/>
      <w:r w:rsidRPr="006C296B">
        <w:rPr>
          <w:rFonts w:ascii="Calibri" w:eastAsia="Calibri" w:hAnsi="Calibri" w:cs="Arial"/>
          <w:lang w:val="en-US"/>
        </w:rPr>
        <w:t xml:space="preserve"> and thermal “reasonably foreseeable misuse” tests, as well the other safety tests foreseen in IEC 62619 and IEC 63056 or equivalent UL/IEEE standards.</w:t>
      </w:r>
    </w:p>
    <w:p w14:paraId="02FD09B5" w14:textId="77777777" w:rsidR="006C296B" w:rsidRPr="006C296B" w:rsidRDefault="006C296B" w:rsidP="00E67595">
      <w:pPr>
        <w:widowControl/>
        <w:numPr>
          <w:ilvl w:val="0"/>
          <w:numId w:val="30"/>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The battery racks type shall pass the safety tests foreseen in IEC 63056 or equivalent UL/IEEE standards, including reverse connection of a module on it during erection (if modules are erected on site).</w:t>
      </w:r>
    </w:p>
    <w:p w14:paraId="406A0F8A" w14:textId="77777777" w:rsidR="006C296B" w:rsidRPr="006C296B" w:rsidRDefault="006C296B" w:rsidP="00E67595">
      <w:pPr>
        <w:widowControl/>
        <w:numPr>
          <w:ilvl w:val="0"/>
          <w:numId w:val="30"/>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Each battery container shall have a central power disconnecting switch, installed near the access door. Each battery rack shall also have a power disconnecting switch, installed on the rack. The switches shall be electrically and manually operated. Auxiliary power shall not be disconnected through these switches.</w:t>
      </w:r>
    </w:p>
    <w:p w14:paraId="3FE2F01C" w14:textId="77777777" w:rsidR="006C296B" w:rsidRPr="006C296B" w:rsidRDefault="006C296B" w:rsidP="00E67595">
      <w:pPr>
        <w:widowControl/>
        <w:numPr>
          <w:ilvl w:val="0"/>
          <w:numId w:val="30"/>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BMS will continuously monitor the temperature, voltage and current of each module. It will control charging / discharging to prevent the above values reaching outside of safe limits. However, in case of overheating, BMS will send an alarm to the central control point of </w:t>
      </w:r>
      <w:proofErr w:type="gramStart"/>
      <w:r w:rsidRPr="006C296B">
        <w:rPr>
          <w:rFonts w:ascii="Calibri" w:eastAsia="Calibri" w:hAnsi="Calibri" w:cs="Arial"/>
          <w:lang w:val="en-US"/>
        </w:rPr>
        <w:t>BESS</w:t>
      </w:r>
      <w:proofErr w:type="gramEnd"/>
      <w:r w:rsidRPr="006C296B">
        <w:rPr>
          <w:rFonts w:ascii="Calibri" w:eastAsia="Calibri" w:hAnsi="Calibri" w:cs="Arial"/>
          <w:lang w:val="en-US"/>
        </w:rPr>
        <w:t xml:space="preserve"> and it will isolate the battery rack, containing the affected module, through tripping of the rack switch. In case of higher overheating and thermal runaway, BMS will isolate the entire battery container, housing the affected module, through tripping of the container switch. The above-mentioned protective functions of BMS shall be housed within each battery container. Failure of communication between BMS subsystems shall not lead to hazardous situation. The BMS type shall pass the relevant tests for the above-mentioned functions foreseen in IEC 62619, IEC </w:t>
      </w:r>
      <w:proofErr w:type="gramStart"/>
      <w:r w:rsidRPr="006C296B">
        <w:rPr>
          <w:rFonts w:ascii="Calibri" w:eastAsia="Calibri" w:hAnsi="Calibri" w:cs="Arial"/>
          <w:lang w:val="en-US"/>
        </w:rPr>
        <w:t>63056</w:t>
      </w:r>
      <w:proofErr w:type="gramEnd"/>
      <w:r w:rsidRPr="006C296B">
        <w:rPr>
          <w:rFonts w:ascii="Calibri" w:eastAsia="Calibri" w:hAnsi="Calibri" w:cs="Arial"/>
          <w:lang w:val="en-US"/>
        </w:rPr>
        <w:t xml:space="preserve"> or equivalent UL/IEEE standards. </w:t>
      </w:r>
    </w:p>
    <w:p w14:paraId="00223DE3" w14:textId="77777777" w:rsidR="006C296B" w:rsidRPr="006C296B" w:rsidRDefault="006C296B" w:rsidP="00E67595">
      <w:pPr>
        <w:widowControl/>
        <w:numPr>
          <w:ilvl w:val="0"/>
          <w:numId w:val="30"/>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In case of maloperation of above mentioned BMS monitoring and protection functions, the affected container shall be isolated through tripping of its power switch. Same will happen in case of fire alarm energization in the container. </w:t>
      </w:r>
    </w:p>
    <w:p w14:paraId="3CACED87" w14:textId="77777777" w:rsidR="006C296B" w:rsidRPr="006C296B" w:rsidRDefault="006C296B" w:rsidP="00E67595">
      <w:pPr>
        <w:widowControl/>
        <w:numPr>
          <w:ilvl w:val="0"/>
          <w:numId w:val="28"/>
        </w:numPr>
        <w:tabs>
          <w:tab w:val="clear" w:pos="1189"/>
        </w:tabs>
        <w:autoSpaceDE/>
        <w:autoSpaceDN/>
        <w:spacing w:after="160" w:line="259" w:lineRule="auto"/>
        <w:ind w:left="851" w:right="0"/>
        <w:rPr>
          <w:rFonts w:ascii="Calibri" w:eastAsia="Calibri" w:hAnsi="Calibri" w:cs="Arial"/>
          <w:u w:val="single"/>
          <w:lang w:val="en-US"/>
        </w:rPr>
      </w:pPr>
      <w:r w:rsidRPr="006C296B">
        <w:rPr>
          <w:rFonts w:ascii="Calibri" w:eastAsia="Calibri" w:hAnsi="Calibri" w:cs="Arial"/>
          <w:u w:val="single"/>
          <w:lang w:val="en-US"/>
        </w:rPr>
        <w:t>Fire Protection</w:t>
      </w:r>
    </w:p>
    <w:p w14:paraId="5121397F" w14:textId="77777777" w:rsidR="006C296B" w:rsidRPr="006C296B" w:rsidRDefault="006C296B" w:rsidP="00E67595">
      <w:pPr>
        <w:widowControl/>
        <w:numPr>
          <w:ilvl w:val="0"/>
          <w:numId w:val="3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All containers, including all transformers, shall have automatic fire alarm and fire suppression system. Automatic energization of fire suppression system by fire alarm shall be applied. </w:t>
      </w:r>
    </w:p>
    <w:p w14:paraId="02A7A31E" w14:textId="77777777" w:rsidR="006C296B" w:rsidRPr="006C296B" w:rsidRDefault="006C296B" w:rsidP="00E67595">
      <w:pPr>
        <w:widowControl/>
        <w:numPr>
          <w:ilvl w:val="0"/>
          <w:numId w:val="3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In battery containers, fire alarm system shall include off-gas detectors and signals from BMS. Off-gas detectors shall be sensitive to </w:t>
      </w:r>
      <w:proofErr w:type="gramStart"/>
      <w:r w:rsidRPr="006C296B">
        <w:rPr>
          <w:rFonts w:ascii="Calibri" w:eastAsia="Calibri" w:hAnsi="Calibri" w:cs="Arial"/>
          <w:lang w:val="en-US"/>
        </w:rPr>
        <w:t>some</w:t>
      </w:r>
      <w:proofErr w:type="gramEnd"/>
      <w:r w:rsidRPr="006C296B">
        <w:rPr>
          <w:rFonts w:ascii="Calibri" w:eastAsia="Calibri" w:hAnsi="Calibri" w:cs="Arial"/>
          <w:lang w:val="en-US"/>
        </w:rPr>
        <w:t xml:space="preserve"> or all of the gases released from Li-ion modules under thermal runaway (H</w:t>
      </w:r>
      <w:r w:rsidRPr="006C296B">
        <w:rPr>
          <w:rFonts w:ascii="Calibri" w:eastAsia="Calibri" w:hAnsi="Calibri" w:cs="Arial"/>
          <w:vertAlign w:val="subscript"/>
          <w:lang w:val="en-US"/>
        </w:rPr>
        <w:t>2</w:t>
      </w:r>
      <w:r w:rsidRPr="006C296B">
        <w:rPr>
          <w:rFonts w:ascii="Calibri" w:eastAsia="Calibri" w:hAnsi="Calibri" w:cs="Arial"/>
          <w:lang w:val="en-US"/>
        </w:rPr>
        <w:t>, CO, CO</w:t>
      </w:r>
      <w:r w:rsidRPr="006C296B">
        <w:rPr>
          <w:rFonts w:ascii="Calibri" w:eastAsia="Calibri" w:hAnsi="Calibri" w:cs="Arial"/>
          <w:vertAlign w:val="subscript"/>
          <w:lang w:val="en-US"/>
        </w:rPr>
        <w:t>2</w:t>
      </w:r>
      <w:r w:rsidRPr="006C296B">
        <w:rPr>
          <w:rFonts w:ascii="Calibri" w:eastAsia="Calibri" w:hAnsi="Calibri" w:cs="Arial"/>
          <w:lang w:val="en-US"/>
        </w:rPr>
        <w:t xml:space="preserve">, hydrocarbons). Activation of both overheating alarm from BMS and of an off-gas detector shall be necessary for energization of fire suppression system. Energization of fire suppression system shall follow an evacuation time, in case of walk-in containers. </w:t>
      </w:r>
      <w:proofErr w:type="gramStart"/>
      <w:r w:rsidRPr="006C296B">
        <w:rPr>
          <w:rFonts w:ascii="Calibri" w:eastAsia="Calibri" w:hAnsi="Calibri" w:cs="Arial"/>
          <w:lang w:val="en-US"/>
        </w:rPr>
        <w:t>Also</w:t>
      </w:r>
      <w:proofErr w:type="gramEnd"/>
      <w:r w:rsidRPr="006C296B">
        <w:rPr>
          <w:rFonts w:ascii="Calibri" w:eastAsia="Calibri" w:hAnsi="Calibri" w:cs="Arial"/>
          <w:lang w:val="en-US"/>
        </w:rPr>
        <w:t xml:space="preserve"> emergency ventilation can be energized by fire alarm, but not if a flooding fire suppression system is installed and energized.</w:t>
      </w:r>
    </w:p>
    <w:p w14:paraId="7429718A" w14:textId="77777777" w:rsidR="006C296B" w:rsidRPr="006C296B" w:rsidRDefault="006C296B" w:rsidP="00E67595">
      <w:pPr>
        <w:widowControl/>
        <w:numPr>
          <w:ilvl w:val="0"/>
          <w:numId w:val="3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An external fire alarm beacon will be installed on each battery container. Audible alarm shall be also available in BESS installation. Both will be automatically energized by fire alarm system.</w:t>
      </w:r>
    </w:p>
    <w:p w14:paraId="74F5AB73" w14:textId="77777777" w:rsidR="006C296B" w:rsidRPr="006C296B" w:rsidRDefault="006C296B" w:rsidP="00E67595">
      <w:pPr>
        <w:widowControl/>
        <w:numPr>
          <w:ilvl w:val="0"/>
          <w:numId w:val="3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Fire suppression system shall be of water sprinkler type, suitable for electrical fires. The fire-fighting water density shall be at least 12.2 mm/min, meaning at least 12.2 </w:t>
      </w:r>
      <w:proofErr w:type="spellStart"/>
      <w:r w:rsidRPr="006C296B">
        <w:rPr>
          <w:rFonts w:ascii="Calibri" w:eastAsia="Calibri" w:hAnsi="Calibri" w:cs="Arial"/>
          <w:lang w:val="en-US"/>
        </w:rPr>
        <w:t>lt</w:t>
      </w:r>
      <w:proofErr w:type="spellEnd"/>
      <w:r w:rsidRPr="006C296B">
        <w:rPr>
          <w:rFonts w:ascii="Calibri" w:eastAsia="Calibri" w:hAnsi="Calibri" w:cs="Arial"/>
          <w:lang w:val="en-US"/>
        </w:rPr>
        <w:t>/min per each m</w:t>
      </w:r>
      <w:r w:rsidRPr="006C296B">
        <w:rPr>
          <w:rFonts w:ascii="Calibri" w:eastAsia="Calibri" w:hAnsi="Calibri" w:cs="Arial"/>
          <w:vertAlign w:val="superscript"/>
          <w:lang w:val="en-US"/>
        </w:rPr>
        <w:t>2</w:t>
      </w:r>
      <w:r w:rsidRPr="006C296B">
        <w:rPr>
          <w:rFonts w:ascii="Calibri" w:eastAsia="Calibri" w:hAnsi="Calibri" w:cs="Arial"/>
          <w:lang w:val="en-US"/>
        </w:rPr>
        <w:t xml:space="preserve"> of container area. </w:t>
      </w:r>
    </w:p>
    <w:p w14:paraId="0FBF5656" w14:textId="77777777" w:rsidR="006C296B" w:rsidRPr="006C296B" w:rsidRDefault="006C296B" w:rsidP="00E67595">
      <w:pPr>
        <w:widowControl/>
        <w:numPr>
          <w:ilvl w:val="0"/>
          <w:numId w:val="3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lastRenderedPageBreak/>
        <w:t>Alternatively, an aerosol or gas flooding agent fire suppression system can be installed in the battery containers. Before energization of the system, all access doors and openings shall automatically close and the ventilation stopped, allowing egress of air only through pressure reliefs (vents). After fire extinguishing, access doors and openings will remain locked, until flooding agent and smoke is removed through manual energization of ventilation. The manual ventilation energization point shall be located remotely from the battery containers and marked accordingly.</w:t>
      </w:r>
    </w:p>
    <w:p w14:paraId="3A5FE8F3" w14:textId="77777777" w:rsidR="006C296B" w:rsidRPr="006C296B" w:rsidRDefault="006C296B" w:rsidP="00E67595">
      <w:pPr>
        <w:widowControl/>
        <w:numPr>
          <w:ilvl w:val="0"/>
          <w:numId w:val="3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The battery cell and module type, as well as the battery rack and container type, as they will be installed, shall undergo a fire and explosion test (large-scale fire test) according to UL 9540A (cell, module, </w:t>
      </w:r>
      <w:proofErr w:type="gramStart"/>
      <w:r w:rsidRPr="006C296B">
        <w:rPr>
          <w:rFonts w:ascii="Calibri" w:eastAsia="Calibri" w:hAnsi="Calibri" w:cs="Arial"/>
          <w:lang w:val="en-US"/>
        </w:rPr>
        <w:t>unit</w:t>
      </w:r>
      <w:proofErr w:type="gramEnd"/>
      <w:r w:rsidRPr="006C296B">
        <w:rPr>
          <w:rFonts w:ascii="Calibri" w:eastAsia="Calibri" w:hAnsi="Calibri" w:cs="Arial"/>
          <w:lang w:val="en-US"/>
        </w:rPr>
        <w:t xml:space="preserve"> and installation levels). Reviewing of the test report shall verify that the design and the fire protection measures applied, up to the battery container level, are adequate to address a fire caused by battery thermal runaway.</w:t>
      </w:r>
    </w:p>
    <w:p w14:paraId="0C78859A" w14:textId="77777777" w:rsidR="006C296B" w:rsidRPr="006C296B" w:rsidRDefault="006C296B" w:rsidP="00E67595">
      <w:pPr>
        <w:widowControl/>
        <w:numPr>
          <w:ilvl w:val="0"/>
          <w:numId w:val="3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Regardless of the fire suppression type, a permanent, reliable water supply shall be installed. If this is not possible or if the permanent supply cannot sustain the water flow needed, a water tank made from fireproof material shall be installed, having capacity of at least 20 m</w:t>
      </w:r>
      <w:r w:rsidRPr="006C296B">
        <w:rPr>
          <w:rFonts w:ascii="Calibri" w:eastAsia="Calibri" w:hAnsi="Calibri" w:cs="Arial"/>
          <w:vertAlign w:val="superscript"/>
          <w:lang w:val="en-US"/>
        </w:rPr>
        <w:t>3</w:t>
      </w:r>
      <w:r w:rsidRPr="006C296B">
        <w:rPr>
          <w:rFonts w:ascii="Calibri" w:eastAsia="Calibri" w:hAnsi="Calibri" w:cs="Arial"/>
          <w:lang w:val="en-US"/>
        </w:rPr>
        <w:t xml:space="preserve"> of water. </w:t>
      </w:r>
    </w:p>
    <w:p w14:paraId="06AA17D3" w14:textId="77777777" w:rsidR="006C296B" w:rsidRPr="006C296B" w:rsidRDefault="006C296B" w:rsidP="00E67595">
      <w:pPr>
        <w:widowControl/>
        <w:numPr>
          <w:ilvl w:val="0"/>
          <w:numId w:val="3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Regardless of the fire suppression type, if the battery modules are deluged with water by the fire-fighting personnel, they shall not short-circuit. Their power connections, as installed in the containers, shall be designed appropriately. </w:t>
      </w:r>
    </w:p>
    <w:p w14:paraId="4660B9F1" w14:textId="77777777" w:rsidR="006C296B" w:rsidRPr="006C296B" w:rsidRDefault="006C296B" w:rsidP="00E67595">
      <w:pPr>
        <w:widowControl/>
        <w:numPr>
          <w:ilvl w:val="0"/>
          <w:numId w:val="31"/>
        </w:numPr>
        <w:tabs>
          <w:tab w:val="clear" w:pos="1189"/>
        </w:tabs>
        <w:autoSpaceDE/>
        <w:autoSpaceDN/>
        <w:spacing w:after="160" w:line="259" w:lineRule="auto"/>
        <w:ind w:right="0"/>
        <w:rPr>
          <w:rFonts w:ascii="Calibri" w:eastAsia="Calibri" w:hAnsi="Calibri" w:cs="Arial"/>
          <w:lang w:val="en-US"/>
        </w:rPr>
      </w:pPr>
      <w:r w:rsidRPr="006C296B">
        <w:rPr>
          <w:rFonts w:ascii="Calibri" w:eastAsia="Calibri" w:hAnsi="Calibri" w:cs="Arial"/>
          <w:lang w:val="en-US"/>
        </w:rPr>
        <w:t xml:space="preserve">Before BESS installation, the owner shall submit to the local Fire Agency office the appropriate fire response manual from BESS manufacturer. Also the following information shall be submitted: location of BESS on map with coordinates, battery technology (Li-ion), guaranteed energy capacity of BESS, number of battery containers and the energy capacity of each, number of battery modules in each container and the energy capacity of each module, SDS of all hazardous material, description of the fire-alarm and the fire-suppression system, including the type of fire-suppression media used, permanent water supply connection or alternatively, the reasons why permanent water supply connection is not possible and the volume of local water tank, layout drawing of BESS installation, depicting the location of battery containers and their access doors, fire resistance rating of container walls, the roads for fire-fighting vehicles access, the locations of fire-fighting hydrants and of the water tank. </w:t>
      </w:r>
    </w:p>
    <w:p w14:paraId="6B12F17C" w14:textId="77777777" w:rsidR="001949FB" w:rsidRPr="006C296B" w:rsidRDefault="001949FB">
      <w:pPr>
        <w:tabs>
          <w:tab w:val="clear" w:pos="1189"/>
        </w:tabs>
        <w:spacing w:after="0" w:line="240" w:lineRule="auto"/>
        <w:ind w:right="0"/>
        <w:jc w:val="left"/>
        <w:rPr>
          <w:lang w:val="en-US"/>
        </w:rPr>
      </w:pPr>
    </w:p>
    <w:p w14:paraId="01D5EA73" w14:textId="77777777" w:rsidR="001949FB" w:rsidRPr="006C296B" w:rsidRDefault="001949FB">
      <w:pPr>
        <w:tabs>
          <w:tab w:val="clear" w:pos="1189"/>
        </w:tabs>
        <w:spacing w:after="0" w:line="240" w:lineRule="auto"/>
        <w:ind w:right="0"/>
        <w:jc w:val="left"/>
        <w:rPr>
          <w:lang w:val="en-US"/>
        </w:rPr>
      </w:pPr>
    </w:p>
    <w:p w14:paraId="330923D1" w14:textId="77777777" w:rsidR="00EE7990" w:rsidRPr="006C296B" w:rsidRDefault="00EE7990">
      <w:pPr>
        <w:tabs>
          <w:tab w:val="clear" w:pos="1189"/>
        </w:tabs>
        <w:spacing w:after="0" w:line="240" w:lineRule="auto"/>
        <w:ind w:right="0"/>
        <w:jc w:val="left"/>
        <w:rPr>
          <w:lang w:val="en-US"/>
        </w:rPr>
      </w:pPr>
    </w:p>
    <w:p w14:paraId="06CB97C7" w14:textId="77777777" w:rsidR="00EE7990" w:rsidRPr="006C296B" w:rsidRDefault="00EE7990">
      <w:pPr>
        <w:tabs>
          <w:tab w:val="clear" w:pos="1189"/>
        </w:tabs>
        <w:spacing w:after="0" w:line="240" w:lineRule="auto"/>
        <w:ind w:right="0"/>
        <w:jc w:val="left"/>
        <w:rPr>
          <w:lang w:val="en-US"/>
        </w:rPr>
        <w:sectPr w:rsidR="00EE7990" w:rsidRPr="006C296B" w:rsidSect="003212AB">
          <w:pgSz w:w="11906" w:h="16838" w:code="9"/>
          <w:pgMar w:top="720" w:right="720" w:bottom="720" w:left="720" w:header="677" w:footer="0" w:gutter="0"/>
          <w:cols w:space="720"/>
          <w:docGrid w:linePitch="299"/>
        </w:sectPr>
      </w:pPr>
    </w:p>
    <w:p w14:paraId="183BA31E" w14:textId="77777777" w:rsidR="001466D7" w:rsidRPr="006C296B" w:rsidRDefault="001466D7" w:rsidP="00E76414">
      <w:pPr>
        <w:pStyle w:val="a3"/>
        <w:rPr>
          <w:lang w:val="en-US"/>
        </w:rPr>
      </w:pPr>
    </w:p>
    <w:p w14:paraId="48A66B24" w14:textId="39E86B5C" w:rsidR="002E30BD" w:rsidRPr="00717B8C" w:rsidRDefault="002E30BD" w:rsidP="00717B8C">
      <w:pPr>
        <w:jc w:val="center"/>
        <w:rPr>
          <w:b/>
          <w:bCs/>
        </w:rPr>
      </w:pPr>
      <w:bookmarkStart w:id="24" w:name="_Hlk137542441"/>
      <w:r w:rsidRPr="00717B8C">
        <w:rPr>
          <w:b/>
          <w:bCs/>
        </w:rPr>
        <w:t>ΠΑΡΑΡΤΗΜΑ Η</w:t>
      </w:r>
      <w:r w:rsidR="0083070E" w:rsidRPr="00717B8C">
        <w:rPr>
          <w:b/>
          <w:bCs/>
        </w:rPr>
        <w:t>.</w:t>
      </w:r>
      <w:r w:rsidR="00BA68F9" w:rsidRPr="00717B8C">
        <w:rPr>
          <w:b/>
          <w:bCs/>
        </w:rPr>
        <w:t>2</w:t>
      </w:r>
    </w:p>
    <w:p w14:paraId="49A0184B" w14:textId="19EB9513" w:rsidR="002E30BD" w:rsidRPr="00717B8C" w:rsidRDefault="002E30BD" w:rsidP="00717B8C">
      <w:pPr>
        <w:jc w:val="center"/>
        <w:rPr>
          <w:b/>
          <w:bCs/>
        </w:rPr>
      </w:pPr>
      <w:r w:rsidRPr="00717B8C">
        <w:rPr>
          <w:b/>
          <w:bCs/>
        </w:rPr>
        <w:t>ΤΕΧΝΙΚ</w:t>
      </w:r>
      <w:r w:rsidR="00C74AAC" w:rsidRPr="00717B8C">
        <w:rPr>
          <w:b/>
          <w:bCs/>
        </w:rPr>
        <w:t xml:space="preserve">ΕΣ ΑΠΑΙΤΗΣΕΙΣ </w:t>
      </w:r>
      <w:r w:rsidRPr="00717B8C">
        <w:rPr>
          <w:b/>
          <w:bCs/>
        </w:rPr>
        <w:t>ΣΥΝΔΕΣΗΣ</w:t>
      </w:r>
      <w:r w:rsidR="00C74AAC" w:rsidRPr="00717B8C">
        <w:rPr>
          <w:b/>
          <w:bCs/>
        </w:rPr>
        <w:t xml:space="preserve"> ΣΥΣΤΗΜΑΤΩΝ ΑΠΟΘΗΚΕΥΣΗΣ ΗΛΕΚΤΡΙΚΗΣ ΕΝΕΡΓΕΙΑΣ</w:t>
      </w:r>
    </w:p>
    <w:bookmarkEnd w:id="24"/>
    <w:p w14:paraId="61164020" w14:textId="77777777" w:rsidR="000B1B60" w:rsidRDefault="000B1B60" w:rsidP="00E76414"/>
    <w:p w14:paraId="5398BF46" w14:textId="77777777" w:rsidR="001949FB" w:rsidRDefault="001949FB" w:rsidP="00E76414"/>
    <w:p w14:paraId="542766D2" w14:textId="77777777" w:rsidR="006C296B" w:rsidRDefault="006C296B" w:rsidP="00E76414"/>
    <w:p w14:paraId="5424062C" w14:textId="77777777" w:rsidR="006C296B" w:rsidRDefault="006C296B" w:rsidP="00E76414"/>
    <w:p w14:paraId="3EEE44C5" w14:textId="77777777" w:rsidR="006C296B" w:rsidRDefault="006C296B" w:rsidP="00E76414">
      <w:pPr>
        <w:sectPr w:rsidR="006C296B" w:rsidSect="003212AB">
          <w:pgSz w:w="11906" w:h="16838" w:code="9"/>
          <w:pgMar w:top="720" w:right="720" w:bottom="720" w:left="720" w:header="677" w:footer="0" w:gutter="0"/>
          <w:cols w:space="720"/>
          <w:docGrid w:linePitch="299"/>
        </w:sectPr>
      </w:pPr>
    </w:p>
    <w:p w14:paraId="58E3DB54"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rPr>
      </w:pPr>
    </w:p>
    <w:p w14:paraId="38620CFE"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rPr>
      </w:pPr>
    </w:p>
    <w:p w14:paraId="24994032"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rPr>
      </w:pPr>
    </w:p>
    <w:p w14:paraId="2640826D"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rPr>
      </w:pPr>
    </w:p>
    <w:p w14:paraId="13D85549"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rPr>
      </w:pPr>
    </w:p>
    <w:p w14:paraId="6D4C8225"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rPr>
      </w:pPr>
    </w:p>
    <w:p w14:paraId="2B29C139"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rPr>
      </w:pPr>
    </w:p>
    <w:p w14:paraId="7BE6843D"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52"/>
          <w:szCs w:val="52"/>
          <w:lang w:val="en-US"/>
        </w:rPr>
      </w:pPr>
      <w:r w:rsidRPr="00A54612">
        <w:rPr>
          <w:rFonts w:eastAsia="Calibri"/>
          <w:b/>
          <w:bCs/>
          <w:sz w:val="52"/>
          <w:szCs w:val="52"/>
          <w:lang w:val="en-US"/>
        </w:rPr>
        <w:t xml:space="preserve">Technical Requirements </w:t>
      </w:r>
    </w:p>
    <w:p w14:paraId="556C24E0"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48"/>
          <w:szCs w:val="48"/>
          <w:lang w:val="en-US"/>
        </w:rPr>
      </w:pPr>
    </w:p>
    <w:p w14:paraId="30CF8403"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40"/>
          <w:szCs w:val="40"/>
          <w:lang w:val="en-US"/>
        </w:rPr>
      </w:pPr>
      <w:r w:rsidRPr="00A54612">
        <w:rPr>
          <w:rFonts w:eastAsia="Calibri"/>
          <w:b/>
          <w:bCs/>
          <w:sz w:val="40"/>
          <w:szCs w:val="40"/>
          <w:lang w:val="en-US"/>
        </w:rPr>
        <w:t xml:space="preserve">for the Connection of Electricity Storage Modules to the Hellenic Electricity Transmission System </w:t>
      </w:r>
    </w:p>
    <w:p w14:paraId="24082A61"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lang w:val="en-US"/>
        </w:rPr>
      </w:pPr>
    </w:p>
    <w:p w14:paraId="684E830F"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lang w:val="en-US"/>
        </w:rPr>
      </w:pPr>
    </w:p>
    <w:p w14:paraId="2706BCA7" w14:textId="77777777" w:rsidR="00A54612" w:rsidRPr="00A54612" w:rsidRDefault="00A54612" w:rsidP="00A54612">
      <w:pPr>
        <w:widowControl/>
        <w:tabs>
          <w:tab w:val="clear" w:pos="1189"/>
        </w:tabs>
        <w:autoSpaceDE/>
        <w:autoSpaceDN/>
        <w:spacing w:after="120" w:line="240" w:lineRule="auto"/>
        <w:ind w:right="0"/>
        <w:jc w:val="center"/>
        <w:rPr>
          <w:rFonts w:eastAsia="Calibri"/>
          <w:lang w:val="en-US"/>
        </w:rPr>
      </w:pPr>
    </w:p>
    <w:p w14:paraId="48802337" w14:textId="77777777" w:rsidR="00A54612" w:rsidRPr="00A54612" w:rsidRDefault="00A54612" w:rsidP="00A54612">
      <w:pPr>
        <w:widowControl/>
        <w:tabs>
          <w:tab w:val="clear" w:pos="1189"/>
        </w:tabs>
        <w:autoSpaceDE/>
        <w:autoSpaceDN/>
        <w:spacing w:after="120" w:line="240" w:lineRule="auto"/>
        <w:ind w:right="0"/>
        <w:jc w:val="center"/>
        <w:rPr>
          <w:rFonts w:eastAsia="Calibri"/>
          <w:lang w:val="en-US"/>
        </w:rPr>
      </w:pPr>
    </w:p>
    <w:p w14:paraId="76D3D8EF" w14:textId="77777777" w:rsidR="00A54612" w:rsidRPr="00A54612" w:rsidRDefault="00A54612" w:rsidP="00A54612">
      <w:pPr>
        <w:widowControl/>
        <w:tabs>
          <w:tab w:val="clear" w:pos="1189"/>
        </w:tabs>
        <w:autoSpaceDE/>
        <w:autoSpaceDN/>
        <w:spacing w:after="120" w:line="240" w:lineRule="auto"/>
        <w:ind w:right="0"/>
        <w:jc w:val="center"/>
        <w:rPr>
          <w:rFonts w:eastAsia="Calibri"/>
          <w:lang w:val="en-US"/>
        </w:rPr>
      </w:pPr>
    </w:p>
    <w:p w14:paraId="38362E81"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lang w:val="en-US"/>
        </w:rPr>
      </w:pPr>
    </w:p>
    <w:p w14:paraId="11A2D113"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lang w:val="en-US"/>
        </w:rPr>
      </w:pPr>
    </w:p>
    <w:p w14:paraId="2E3B80F2" w14:textId="77777777" w:rsidR="00A54612" w:rsidRPr="00A54612" w:rsidRDefault="00A54612" w:rsidP="00A54612">
      <w:pPr>
        <w:widowControl/>
        <w:tabs>
          <w:tab w:val="clear" w:pos="1189"/>
        </w:tabs>
        <w:autoSpaceDE/>
        <w:autoSpaceDN/>
        <w:spacing w:after="0" w:line="240" w:lineRule="auto"/>
        <w:ind w:right="0"/>
        <w:jc w:val="center"/>
        <w:rPr>
          <w:rFonts w:eastAsia="Calibri"/>
          <w:b/>
          <w:bCs/>
          <w:sz w:val="36"/>
          <w:szCs w:val="36"/>
          <w:lang w:val="en-US"/>
        </w:rPr>
      </w:pPr>
    </w:p>
    <w:p w14:paraId="3BCEA2D9"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014A3DFF"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sectPr w:rsidR="00A54612" w:rsidRPr="00A54612" w:rsidSect="00A54612">
          <w:headerReference w:type="even" r:id="rId27"/>
          <w:headerReference w:type="default" r:id="rId28"/>
          <w:footerReference w:type="even" r:id="rId29"/>
          <w:footerReference w:type="default" r:id="rId30"/>
          <w:headerReference w:type="first" r:id="rId31"/>
          <w:footerReference w:type="first" r:id="rId32"/>
          <w:pgSz w:w="12240" w:h="15840"/>
          <w:pgMar w:top="1440" w:right="1800" w:bottom="1440" w:left="1800" w:header="720" w:footer="720" w:gutter="0"/>
          <w:cols w:space="720"/>
          <w:titlePg/>
          <w:docGrid w:linePitch="360"/>
        </w:sectPr>
      </w:pPr>
    </w:p>
    <w:sdt>
      <w:sdtPr>
        <w:rPr>
          <w:rFonts w:eastAsia="Calibri" w:cs="Arial"/>
          <w:sz w:val="20"/>
          <w:szCs w:val="20"/>
          <w:lang w:val="en-US"/>
        </w:rPr>
        <w:id w:val="1778445529"/>
        <w:docPartObj>
          <w:docPartGallery w:val="Table of Contents"/>
          <w:docPartUnique/>
        </w:docPartObj>
      </w:sdtPr>
      <w:sdtEndPr>
        <w:rPr>
          <w:b/>
          <w:bCs/>
          <w:noProof/>
        </w:rPr>
      </w:sdtEndPr>
      <w:sdtContent>
        <w:p w14:paraId="183906FA" w14:textId="77777777" w:rsidR="00A54612" w:rsidRPr="00A54612" w:rsidRDefault="00A54612" w:rsidP="00A54612">
          <w:pPr>
            <w:keepNext/>
            <w:keepLines/>
            <w:widowControl/>
            <w:tabs>
              <w:tab w:val="clear" w:pos="1189"/>
            </w:tabs>
            <w:autoSpaceDE/>
            <w:autoSpaceDN/>
            <w:spacing w:before="240" w:after="0" w:line="259" w:lineRule="auto"/>
            <w:ind w:right="0"/>
            <w:jc w:val="left"/>
            <w:rPr>
              <w:color w:val="2F5496"/>
              <w:lang w:val="en-US"/>
            </w:rPr>
          </w:pPr>
          <w:r w:rsidRPr="00A54612">
            <w:rPr>
              <w:b/>
              <w:bCs/>
              <w:lang w:val="en-US"/>
            </w:rPr>
            <w:t>Table of Contents</w:t>
          </w:r>
        </w:p>
        <w:p w14:paraId="5ECD6628" w14:textId="4E5FB52A" w:rsidR="00A54612" w:rsidRPr="00A54612" w:rsidRDefault="00A54612" w:rsidP="00A54612">
          <w:pPr>
            <w:widowControl/>
            <w:tabs>
              <w:tab w:val="clear" w:pos="1189"/>
              <w:tab w:val="left" w:pos="440"/>
              <w:tab w:val="right" w:leader="dot" w:pos="8630"/>
            </w:tabs>
            <w:autoSpaceDE/>
            <w:autoSpaceDN/>
            <w:spacing w:before="120" w:after="0" w:line="240" w:lineRule="auto"/>
            <w:ind w:right="0"/>
            <w:jc w:val="left"/>
            <w:rPr>
              <w:rFonts w:ascii="Calibri" w:hAnsi="Calibri" w:cs="Arial"/>
              <w:noProof/>
              <w:kern w:val="2"/>
              <w:lang w:eastAsia="el-GR"/>
              <w14:ligatures w14:val="standardContextual"/>
            </w:rPr>
          </w:pPr>
          <w:r w:rsidRPr="00A54612">
            <w:rPr>
              <w:rFonts w:eastAsia="Calibri"/>
              <w:b/>
              <w:bCs/>
              <w:lang w:val="en-US"/>
            </w:rPr>
            <w:fldChar w:fldCharType="begin"/>
          </w:r>
          <w:r w:rsidRPr="00A54612">
            <w:rPr>
              <w:rFonts w:eastAsia="Calibri"/>
              <w:b/>
              <w:bCs/>
              <w:noProof/>
              <w:lang w:val="en-US"/>
            </w:rPr>
            <w:instrText xml:space="preserve"> TOC \o "1-3" \h \z \u </w:instrText>
          </w:r>
          <w:r w:rsidRPr="00A54612">
            <w:rPr>
              <w:rFonts w:eastAsia="Calibri"/>
              <w:b/>
              <w:bCs/>
              <w:lang w:val="en-US"/>
            </w:rPr>
            <w:fldChar w:fldCharType="separate"/>
          </w:r>
          <w:hyperlink w:anchor="_Toc137323478" w:history="1">
            <w:r w:rsidRPr="00A54612">
              <w:rPr>
                <w:rFonts w:ascii="Calibri" w:eastAsia="Calibri" w:hAnsi="Calibri" w:cs="Arial"/>
                <w:b/>
                <w:bCs/>
                <w:noProof/>
                <w:color w:val="0563C1"/>
                <w:u w:val="single"/>
                <w:lang w:val="en-US"/>
              </w:rPr>
              <w:t>1</w:t>
            </w:r>
            <w:r w:rsidRPr="00A54612">
              <w:rPr>
                <w:rFonts w:ascii="Calibri" w:hAnsi="Calibri" w:cs="Arial"/>
                <w:noProof/>
                <w:kern w:val="2"/>
                <w:lang w:eastAsia="el-GR"/>
                <w14:ligatures w14:val="standardContextual"/>
              </w:rPr>
              <w:tab/>
            </w:r>
            <w:r w:rsidRPr="00A54612">
              <w:rPr>
                <w:rFonts w:ascii="Calibri" w:eastAsia="Calibri" w:hAnsi="Calibri" w:cs="Arial"/>
                <w:b/>
                <w:bCs/>
                <w:noProof/>
                <w:color w:val="0563C1"/>
                <w:u w:val="single"/>
                <w:lang w:val="en-US"/>
              </w:rPr>
              <w:t>Scope</w:t>
            </w:r>
            <w:r w:rsidRPr="00A54612">
              <w:rPr>
                <w:rFonts w:ascii="Calibri" w:eastAsia="Calibri" w:hAnsi="Calibri" w:cs="Arial"/>
                <w:b/>
                <w:bCs/>
                <w:noProof/>
                <w:webHidden/>
                <w:lang w:val="en-US"/>
              </w:rPr>
              <w:tab/>
            </w:r>
            <w:r w:rsidRPr="00A54612">
              <w:rPr>
                <w:rFonts w:ascii="Calibri" w:eastAsia="Calibri" w:hAnsi="Calibri" w:cs="Arial"/>
                <w:b/>
                <w:bCs/>
                <w:noProof/>
                <w:webHidden/>
                <w:lang w:val="en-US"/>
              </w:rPr>
              <w:fldChar w:fldCharType="begin"/>
            </w:r>
            <w:r w:rsidRPr="00A54612">
              <w:rPr>
                <w:rFonts w:ascii="Calibri" w:eastAsia="Calibri" w:hAnsi="Calibri" w:cs="Arial"/>
                <w:b/>
                <w:bCs/>
                <w:noProof/>
                <w:webHidden/>
                <w:lang w:val="en-US"/>
              </w:rPr>
              <w:instrText xml:space="preserve"> PAGEREF _Toc137323478 \h </w:instrText>
            </w:r>
            <w:r w:rsidRPr="00A54612">
              <w:rPr>
                <w:rFonts w:ascii="Calibri" w:eastAsia="Calibri" w:hAnsi="Calibri" w:cs="Arial"/>
                <w:b/>
                <w:bCs/>
                <w:noProof/>
                <w:webHidden/>
                <w:lang w:val="en-US"/>
              </w:rPr>
            </w:r>
            <w:r w:rsidRPr="00A54612">
              <w:rPr>
                <w:rFonts w:ascii="Calibri" w:eastAsia="Calibri" w:hAnsi="Calibri" w:cs="Arial"/>
                <w:b/>
                <w:bCs/>
                <w:noProof/>
                <w:webHidden/>
                <w:lang w:val="en-US"/>
              </w:rPr>
              <w:fldChar w:fldCharType="separate"/>
            </w:r>
            <w:r w:rsidR="00363717">
              <w:rPr>
                <w:rFonts w:ascii="Calibri" w:eastAsia="Calibri" w:hAnsi="Calibri" w:cs="Arial"/>
                <w:b/>
                <w:bCs/>
                <w:noProof/>
                <w:webHidden/>
                <w:lang w:val="en-US"/>
              </w:rPr>
              <w:t>5</w:t>
            </w:r>
            <w:r w:rsidRPr="00A54612">
              <w:rPr>
                <w:rFonts w:ascii="Calibri" w:eastAsia="Calibri" w:hAnsi="Calibri" w:cs="Arial"/>
                <w:b/>
                <w:bCs/>
                <w:noProof/>
                <w:webHidden/>
                <w:lang w:val="en-US"/>
              </w:rPr>
              <w:fldChar w:fldCharType="end"/>
            </w:r>
          </w:hyperlink>
        </w:p>
        <w:p w14:paraId="08D500DC" w14:textId="18D27144" w:rsidR="00A54612" w:rsidRPr="00A54612" w:rsidRDefault="00C72D5D" w:rsidP="00A54612">
          <w:pPr>
            <w:widowControl/>
            <w:tabs>
              <w:tab w:val="clear" w:pos="1189"/>
              <w:tab w:val="left" w:pos="440"/>
              <w:tab w:val="right" w:leader="dot" w:pos="8630"/>
            </w:tabs>
            <w:autoSpaceDE/>
            <w:autoSpaceDN/>
            <w:spacing w:before="120" w:after="0" w:line="240" w:lineRule="auto"/>
            <w:ind w:right="0"/>
            <w:jc w:val="left"/>
            <w:rPr>
              <w:rFonts w:ascii="Calibri" w:hAnsi="Calibri" w:cs="Arial"/>
              <w:noProof/>
              <w:kern w:val="2"/>
              <w:lang w:eastAsia="el-GR"/>
              <w14:ligatures w14:val="standardContextual"/>
            </w:rPr>
          </w:pPr>
          <w:hyperlink w:anchor="_Toc137323479" w:history="1">
            <w:r w:rsidR="00A54612" w:rsidRPr="00A54612">
              <w:rPr>
                <w:rFonts w:ascii="Calibri" w:eastAsia="Calibri" w:hAnsi="Calibri" w:cs="Arial"/>
                <w:b/>
                <w:bCs/>
                <w:noProof/>
                <w:color w:val="0563C1"/>
                <w:u w:val="single"/>
                <w:lang w:val="en-US"/>
              </w:rPr>
              <w:t>2</w:t>
            </w:r>
            <w:r w:rsidR="00A54612" w:rsidRPr="00A54612">
              <w:rPr>
                <w:rFonts w:ascii="Calibri" w:hAnsi="Calibri" w:cs="Arial"/>
                <w:noProof/>
                <w:kern w:val="2"/>
                <w:lang w:eastAsia="el-GR"/>
                <w14:ligatures w14:val="standardContextual"/>
              </w:rPr>
              <w:tab/>
            </w:r>
            <w:r w:rsidR="00A54612" w:rsidRPr="00A54612">
              <w:rPr>
                <w:rFonts w:ascii="Calibri" w:eastAsia="Calibri" w:hAnsi="Calibri" w:cs="Arial"/>
                <w:b/>
                <w:bCs/>
                <w:noProof/>
                <w:color w:val="0563C1"/>
                <w:u w:val="single"/>
                <w:lang w:val="en-US"/>
              </w:rPr>
              <w:t>ESM operating ranges</w:t>
            </w:r>
            <w:r w:rsidR="00A54612" w:rsidRPr="00A54612">
              <w:rPr>
                <w:rFonts w:ascii="Calibri" w:eastAsia="Calibri" w:hAnsi="Calibri" w:cs="Arial"/>
                <w:b/>
                <w:bCs/>
                <w:noProof/>
                <w:webHidden/>
                <w:lang w:val="en-US"/>
              </w:rPr>
              <w:tab/>
            </w:r>
            <w:r w:rsidR="00A54612" w:rsidRPr="00A54612">
              <w:rPr>
                <w:rFonts w:ascii="Calibri" w:eastAsia="Calibri" w:hAnsi="Calibri" w:cs="Arial"/>
                <w:b/>
                <w:bCs/>
                <w:noProof/>
                <w:webHidden/>
                <w:lang w:val="en-US"/>
              </w:rPr>
              <w:fldChar w:fldCharType="begin"/>
            </w:r>
            <w:r w:rsidR="00A54612" w:rsidRPr="00A54612">
              <w:rPr>
                <w:rFonts w:ascii="Calibri" w:eastAsia="Calibri" w:hAnsi="Calibri" w:cs="Arial"/>
                <w:b/>
                <w:bCs/>
                <w:noProof/>
                <w:webHidden/>
                <w:lang w:val="en-US"/>
              </w:rPr>
              <w:instrText xml:space="preserve"> PAGEREF _Toc137323479 \h </w:instrText>
            </w:r>
            <w:r w:rsidR="00A54612" w:rsidRPr="00A54612">
              <w:rPr>
                <w:rFonts w:ascii="Calibri" w:eastAsia="Calibri" w:hAnsi="Calibri" w:cs="Arial"/>
                <w:b/>
                <w:bCs/>
                <w:noProof/>
                <w:webHidden/>
                <w:lang w:val="en-US"/>
              </w:rPr>
            </w:r>
            <w:r w:rsidR="00A54612" w:rsidRPr="00A54612">
              <w:rPr>
                <w:rFonts w:ascii="Calibri" w:eastAsia="Calibri" w:hAnsi="Calibri" w:cs="Arial"/>
                <w:b/>
                <w:bCs/>
                <w:noProof/>
                <w:webHidden/>
                <w:lang w:val="en-US"/>
              </w:rPr>
              <w:fldChar w:fldCharType="separate"/>
            </w:r>
            <w:r w:rsidR="00363717">
              <w:rPr>
                <w:rFonts w:ascii="Calibri" w:eastAsia="Calibri" w:hAnsi="Calibri" w:cs="Arial"/>
                <w:b/>
                <w:bCs/>
                <w:noProof/>
                <w:webHidden/>
                <w:lang w:val="en-US"/>
              </w:rPr>
              <w:t>5</w:t>
            </w:r>
            <w:r w:rsidR="00A54612" w:rsidRPr="00A54612">
              <w:rPr>
                <w:rFonts w:ascii="Calibri" w:eastAsia="Calibri" w:hAnsi="Calibri" w:cs="Arial"/>
                <w:b/>
                <w:bCs/>
                <w:noProof/>
                <w:webHidden/>
                <w:lang w:val="en-US"/>
              </w:rPr>
              <w:fldChar w:fldCharType="end"/>
            </w:r>
          </w:hyperlink>
        </w:p>
        <w:p w14:paraId="6E8EBE80" w14:textId="04C70226" w:rsidR="00A54612" w:rsidRPr="00A54612" w:rsidRDefault="00C72D5D" w:rsidP="00A54612">
          <w:pPr>
            <w:widowControl/>
            <w:tabs>
              <w:tab w:val="clear" w:pos="1189"/>
              <w:tab w:val="left" w:pos="880"/>
              <w:tab w:val="right" w:leader="dot" w:pos="8630"/>
            </w:tabs>
            <w:autoSpaceDE/>
            <w:autoSpaceDN/>
            <w:spacing w:before="60" w:after="0" w:line="240" w:lineRule="auto"/>
            <w:ind w:left="221" w:right="0"/>
            <w:jc w:val="left"/>
            <w:rPr>
              <w:rFonts w:ascii="Calibri" w:hAnsi="Calibri" w:cs="Arial"/>
              <w:noProof/>
              <w:kern w:val="2"/>
              <w:lang w:eastAsia="el-GR"/>
              <w14:ligatures w14:val="standardContextual"/>
            </w:rPr>
          </w:pPr>
          <w:hyperlink w:anchor="_Toc137323480" w:history="1">
            <w:r w:rsidR="00A54612" w:rsidRPr="00A54612">
              <w:rPr>
                <w:rFonts w:eastAsia="Calibri"/>
                <w:noProof/>
                <w:color w:val="0563C1"/>
                <w:sz w:val="20"/>
                <w:szCs w:val="20"/>
                <w:u w:val="single"/>
                <w:lang w:val="en-US"/>
              </w:rPr>
              <w:t>2.1</w:t>
            </w:r>
            <w:r w:rsidR="00A54612" w:rsidRPr="00A54612">
              <w:rPr>
                <w:rFonts w:ascii="Calibri" w:hAnsi="Calibri" w:cs="Arial"/>
                <w:noProof/>
                <w:kern w:val="2"/>
                <w:lang w:eastAsia="el-GR"/>
                <w14:ligatures w14:val="standardContextual"/>
              </w:rPr>
              <w:tab/>
            </w:r>
            <w:r w:rsidR="00A54612" w:rsidRPr="00A54612">
              <w:rPr>
                <w:rFonts w:eastAsia="Calibri"/>
                <w:noProof/>
                <w:color w:val="0563C1"/>
                <w:sz w:val="20"/>
                <w:szCs w:val="20"/>
                <w:u w:val="single"/>
                <w:lang w:val="en-US"/>
              </w:rPr>
              <w:t>Frequency operating ranges</w:t>
            </w:r>
            <w:r w:rsidR="00A54612" w:rsidRPr="00A54612">
              <w:rPr>
                <w:rFonts w:ascii="Calibri" w:eastAsia="Calibri" w:hAnsi="Calibri" w:cs="Arial"/>
                <w:noProof/>
                <w:webHidden/>
                <w:sz w:val="20"/>
                <w:szCs w:val="20"/>
                <w:lang w:val="en-US"/>
              </w:rPr>
              <w:tab/>
            </w:r>
            <w:r w:rsidR="00A54612" w:rsidRPr="00A54612">
              <w:rPr>
                <w:rFonts w:ascii="Calibri" w:eastAsia="Calibri" w:hAnsi="Calibri" w:cs="Arial"/>
                <w:noProof/>
                <w:webHidden/>
                <w:sz w:val="20"/>
                <w:szCs w:val="20"/>
                <w:lang w:val="en-US"/>
              </w:rPr>
              <w:fldChar w:fldCharType="begin"/>
            </w:r>
            <w:r w:rsidR="00A54612" w:rsidRPr="00A54612">
              <w:rPr>
                <w:rFonts w:ascii="Calibri" w:eastAsia="Calibri" w:hAnsi="Calibri" w:cs="Arial"/>
                <w:noProof/>
                <w:webHidden/>
                <w:sz w:val="20"/>
                <w:szCs w:val="20"/>
                <w:lang w:val="en-US"/>
              </w:rPr>
              <w:instrText xml:space="preserve"> PAGEREF _Toc137323480 \h </w:instrText>
            </w:r>
            <w:r w:rsidR="00A54612" w:rsidRPr="00A54612">
              <w:rPr>
                <w:rFonts w:ascii="Calibri" w:eastAsia="Calibri" w:hAnsi="Calibri" w:cs="Arial"/>
                <w:noProof/>
                <w:webHidden/>
                <w:sz w:val="20"/>
                <w:szCs w:val="20"/>
                <w:lang w:val="en-US"/>
              </w:rPr>
            </w:r>
            <w:r w:rsidR="00A54612" w:rsidRPr="00A54612">
              <w:rPr>
                <w:rFonts w:ascii="Calibri" w:eastAsia="Calibri" w:hAnsi="Calibri" w:cs="Arial"/>
                <w:noProof/>
                <w:webHidden/>
                <w:sz w:val="20"/>
                <w:szCs w:val="20"/>
                <w:lang w:val="en-US"/>
              </w:rPr>
              <w:fldChar w:fldCharType="separate"/>
            </w:r>
            <w:r w:rsidR="00363717">
              <w:rPr>
                <w:rFonts w:ascii="Calibri" w:eastAsia="Calibri" w:hAnsi="Calibri" w:cs="Arial"/>
                <w:noProof/>
                <w:webHidden/>
                <w:sz w:val="20"/>
                <w:szCs w:val="20"/>
                <w:lang w:val="en-US"/>
              </w:rPr>
              <w:t>5</w:t>
            </w:r>
            <w:r w:rsidR="00A54612" w:rsidRPr="00A54612">
              <w:rPr>
                <w:rFonts w:ascii="Calibri" w:eastAsia="Calibri" w:hAnsi="Calibri" w:cs="Arial"/>
                <w:noProof/>
                <w:webHidden/>
                <w:sz w:val="20"/>
                <w:szCs w:val="20"/>
                <w:lang w:val="en-US"/>
              </w:rPr>
              <w:fldChar w:fldCharType="end"/>
            </w:r>
          </w:hyperlink>
        </w:p>
        <w:p w14:paraId="752F38BF" w14:textId="58AF659C" w:rsidR="00A54612" w:rsidRPr="00A54612" w:rsidRDefault="00C72D5D" w:rsidP="00A54612">
          <w:pPr>
            <w:widowControl/>
            <w:tabs>
              <w:tab w:val="clear" w:pos="1189"/>
              <w:tab w:val="left" w:pos="880"/>
              <w:tab w:val="right" w:leader="dot" w:pos="8630"/>
            </w:tabs>
            <w:autoSpaceDE/>
            <w:autoSpaceDN/>
            <w:spacing w:before="60" w:after="0" w:line="240" w:lineRule="auto"/>
            <w:ind w:left="221" w:right="0"/>
            <w:jc w:val="left"/>
            <w:rPr>
              <w:rFonts w:ascii="Calibri" w:hAnsi="Calibri" w:cs="Arial"/>
              <w:noProof/>
              <w:kern w:val="2"/>
              <w:lang w:eastAsia="el-GR"/>
              <w14:ligatures w14:val="standardContextual"/>
            </w:rPr>
          </w:pPr>
          <w:hyperlink w:anchor="_Toc137323481" w:history="1">
            <w:r w:rsidR="00A54612" w:rsidRPr="00A54612">
              <w:rPr>
                <w:rFonts w:eastAsia="Calibri"/>
                <w:noProof/>
                <w:color w:val="0563C1"/>
                <w:sz w:val="20"/>
                <w:szCs w:val="20"/>
                <w:u w:val="single"/>
                <w:lang w:val="en-US"/>
              </w:rPr>
              <w:t>2.2</w:t>
            </w:r>
            <w:r w:rsidR="00A54612" w:rsidRPr="00A54612">
              <w:rPr>
                <w:rFonts w:ascii="Calibri" w:hAnsi="Calibri" w:cs="Arial"/>
                <w:noProof/>
                <w:kern w:val="2"/>
                <w:lang w:eastAsia="el-GR"/>
                <w14:ligatures w14:val="standardContextual"/>
              </w:rPr>
              <w:tab/>
            </w:r>
            <w:r w:rsidR="00A54612" w:rsidRPr="00A54612">
              <w:rPr>
                <w:rFonts w:eastAsia="Calibri"/>
                <w:noProof/>
                <w:color w:val="0563C1"/>
                <w:sz w:val="20"/>
                <w:szCs w:val="20"/>
                <w:u w:val="single"/>
                <w:lang w:val="en-US"/>
              </w:rPr>
              <w:t>Voltage operating ranges</w:t>
            </w:r>
            <w:r w:rsidR="00A54612" w:rsidRPr="00A54612">
              <w:rPr>
                <w:rFonts w:ascii="Calibri" w:eastAsia="Calibri" w:hAnsi="Calibri" w:cs="Arial"/>
                <w:noProof/>
                <w:webHidden/>
                <w:sz w:val="20"/>
                <w:szCs w:val="20"/>
                <w:lang w:val="en-US"/>
              </w:rPr>
              <w:tab/>
            </w:r>
            <w:r w:rsidR="00A54612" w:rsidRPr="00A54612">
              <w:rPr>
                <w:rFonts w:ascii="Calibri" w:eastAsia="Calibri" w:hAnsi="Calibri" w:cs="Arial"/>
                <w:noProof/>
                <w:webHidden/>
                <w:sz w:val="20"/>
                <w:szCs w:val="20"/>
                <w:lang w:val="en-US"/>
              </w:rPr>
              <w:fldChar w:fldCharType="begin"/>
            </w:r>
            <w:r w:rsidR="00A54612" w:rsidRPr="00A54612">
              <w:rPr>
                <w:rFonts w:ascii="Calibri" w:eastAsia="Calibri" w:hAnsi="Calibri" w:cs="Arial"/>
                <w:noProof/>
                <w:webHidden/>
                <w:sz w:val="20"/>
                <w:szCs w:val="20"/>
                <w:lang w:val="en-US"/>
              </w:rPr>
              <w:instrText xml:space="preserve"> PAGEREF _Toc137323481 \h </w:instrText>
            </w:r>
            <w:r w:rsidR="00A54612" w:rsidRPr="00A54612">
              <w:rPr>
                <w:rFonts w:ascii="Calibri" w:eastAsia="Calibri" w:hAnsi="Calibri" w:cs="Arial"/>
                <w:noProof/>
                <w:webHidden/>
                <w:sz w:val="20"/>
                <w:szCs w:val="20"/>
                <w:lang w:val="en-US"/>
              </w:rPr>
            </w:r>
            <w:r w:rsidR="00A54612" w:rsidRPr="00A54612">
              <w:rPr>
                <w:rFonts w:ascii="Calibri" w:eastAsia="Calibri" w:hAnsi="Calibri" w:cs="Arial"/>
                <w:noProof/>
                <w:webHidden/>
                <w:sz w:val="20"/>
                <w:szCs w:val="20"/>
                <w:lang w:val="en-US"/>
              </w:rPr>
              <w:fldChar w:fldCharType="separate"/>
            </w:r>
            <w:r w:rsidR="00363717">
              <w:rPr>
                <w:rFonts w:ascii="Calibri" w:eastAsia="Calibri" w:hAnsi="Calibri" w:cs="Arial"/>
                <w:noProof/>
                <w:webHidden/>
                <w:sz w:val="20"/>
                <w:szCs w:val="20"/>
                <w:lang w:val="en-US"/>
              </w:rPr>
              <w:t>5</w:t>
            </w:r>
            <w:r w:rsidR="00A54612" w:rsidRPr="00A54612">
              <w:rPr>
                <w:rFonts w:ascii="Calibri" w:eastAsia="Calibri" w:hAnsi="Calibri" w:cs="Arial"/>
                <w:noProof/>
                <w:webHidden/>
                <w:sz w:val="20"/>
                <w:szCs w:val="20"/>
                <w:lang w:val="en-US"/>
              </w:rPr>
              <w:fldChar w:fldCharType="end"/>
            </w:r>
          </w:hyperlink>
        </w:p>
        <w:p w14:paraId="2FA0E828" w14:textId="52692F8C" w:rsidR="00A54612" w:rsidRPr="00A54612" w:rsidRDefault="00C72D5D" w:rsidP="00A54612">
          <w:pPr>
            <w:widowControl/>
            <w:tabs>
              <w:tab w:val="clear" w:pos="1189"/>
              <w:tab w:val="left" w:pos="880"/>
              <w:tab w:val="right" w:leader="dot" w:pos="8630"/>
            </w:tabs>
            <w:autoSpaceDE/>
            <w:autoSpaceDN/>
            <w:spacing w:before="60" w:after="0" w:line="240" w:lineRule="auto"/>
            <w:ind w:left="221" w:right="0"/>
            <w:jc w:val="left"/>
            <w:rPr>
              <w:rFonts w:ascii="Calibri" w:hAnsi="Calibri" w:cs="Arial"/>
              <w:noProof/>
              <w:kern w:val="2"/>
              <w:lang w:eastAsia="el-GR"/>
              <w14:ligatures w14:val="standardContextual"/>
            </w:rPr>
          </w:pPr>
          <w:hyperlink w:anchor="_Toc137323482" w:history="1">
            <w:r w:rsidR="00A54612" w:rsidRPr="00A54612">
              <w:rPr>
                <w:rFonts w:eastAsia="Calibri"/>
                <w:noProof/>
                <w:color w:val="0563C1"/>
                <w:sz w:val="20"/>
                <w:szCs w:val="20"/>
                <w:u w:val="single"/>
                <w:lang w:val="en-US"/>
              </w:rPr>
              <w:t>2.3</w:t>
            </w:r>
            <w:r w:rsidR="00A54612" w:rsidRPr="00A54612">
              <w:rPr>
                <w:rFonts w:ascii="Calibri" w:hAnsi="Calibri" w:cs="Arial"/>
                <w:noProof/>
                <w:kern w:val="2"/>
                <w:lang w:eastAsia="el-GR"/>
                <w14:ligatures w14:val="standardContextual"/>
              </w:rPr>
              <w:tab/>
            </w:r>
            <w:r w:rsidR="00A54612" w:rsidRPr="00A54612">
              <w:rPr>
                <w:rFonts w:eastAsia="Calibri"/>
                <w:noProof/>
                <w:color w:val="0563C1"/>
                <w:sz w:val="20"/>
                <w:szCs w:val="20"/>
                <w:u w:val="single"/>
                <w:lang w:val="en-US"/>
              </w:rPr>
              <w:t>Steady state frequency and voltage operating limits</w:t>
            </w:r>
            <w:r w:rsidR="00A54612" w:rsidRPr="00A54612">
              <w:rPr>
                <w:rFonts w:ascii="Calibri" w:eastAsia="Calibri" w:hAnsi="Calibri" w:cs="Arial"/>
                <w:noProof/>
                <w:webHidden/>
                <w:sz w:val="20"/>
                <w:szCs w:val="20"/>
                <w:lang w:val="en-US"/>
              </w:rPr>
              <w:tab/>
            </w:r>
            <w:r w:rsidR="00A54612" w:rsidRPr="00A54612">
              <w:rPr>
                <w:rFonts w:ascii="Calibri" w:eastAsia="Calibri" w:hAnsi="Calibri" w:cs="Arial"/>
                <w:noProof/>
                <w:webHidden/>
                <w:sz w:val="20"/>
                <w:szCs w:val="20"/>
                <w:lang w:val="en-US"/>
              </w:rPr>
              <w:fldChar w:fldCharType="begin"/>
            </w:r>
            <w:r w:rsidR="00A54612" w:rsidRPr="00A54612">
              <w:rPr>
                <w:rFonts w:ascii="Calibri" w:eastAsia="Calibri" w:hAnsi="Calibri" w:cs="Arial"/>
                <w:noProof/>
                <w:webHidden/>
                <w:sz w:val="20"/>
                <w:szCs w:val="20"/>
                <w:lang w:val="en-US"/>
              </w:rPr>
              <w:instrText xml:space="preserve"> PAGEREF _Toc137323482 \h </w:instrText>
            </w:r>
            <w:r w:rsidR="00A54612" w:rsidRPr="00A54612">
              <w:rPr>
                <w:rFonts w:ascii="Calibri" w:eastAsia="Calibri" w:hAnsi="Calibri" w:cs="Arial"/>
                <w:noProof/>
                <w:webHidden/>
                <w:sz w:val="20"/>
                <w:szCs w:val="20"/>
                <w:lang w:val="en-US"/>
              </w:rPr>
            </w:r>
            <w:r w:rsidR="00A54612" w:rsidRPr="00A54612">
              <w:rPr>
                <w:rFonts w:ascii="Calibri" w:eastAsia="Calibri" w:hAnsi="Calibri" w:cs="Arial"/>
                <w:noProof/>
                <w:webHidden/>
                <w:sz w:val="20"/>
                <w:szCs w:val="20"/>
                <w:lang w:val="en-US"/>
              </w:rPr>
              <w:fldChar w:fldCharType="separate"/>
            </w:r>
            <w:r w:rsidR="00363717">
              <w:rPr>
                <w:rFonts w:ascii="Calibri" w:eastAsia="Calibri" w:hAnsi="Calibri" w:cs="Arial"/>
                <w:noProof/>
                <w:webHidden/>
                <w:sz w:val="20"/>
                <w:szCs w:val="20"/>
                <w:lang w:val="en-US"/>
              </w:rPr>
              <w:t>6</w:t>
            </w:r>
            <w:r w:rsidR="00A54612" w:rsidRPr="00A54612">
              <w:rPr>
                <w:rFonts w:ascii="Calibri" w:eastAsia="Calibri" w:hAnsi="Calibri" w:cs="Arial"/>
                <w:noProof/>
                <w:webHidden/>
                <w:sz w:val="20"/>
                <w:szCs w:val="20"/>
                <w:lang w:val="en-US"/>
              </w:rPr>
              <w:fldChar w:fldCharType="end"/>
            </w:r>
          </w:hyperlink>
        </w:p>
        <w:p w14:paraId="4AF7083E" w14:textId="67A8C16A" w:rsidR="00A54612" w:rsidRPr="00A54612" w:rsidRDefault="00C72D5D" w:rsidP="00A54612">
          <w:pPr>
            <w:widowControl/>
            <w:tabs>
              <w:tab w:val="clear" w:pos="1189"/>
              <w:tab w:val="left" w:pos="880"/>
              <w:tab w:val="right" w:leader="dot" w:pos="8630"/>
            </w:tabs>
            <w:autoSpaceDE/>
            <w:autoSpaceDN/>
            <w:spacing w:before="60" w:after="0" w:line="240" w:lineRule="auto"/>
            <w:ind w:left="221" w:right="0"/>
            <w:jc w:val="left"/>
            <w:rPr>
              <w:rFonts w:ascii="Calibri" w:hAnsi="Calibri" w:cs="Arial"/>
              <w:noProof/>
              <w:kern w:val="2"/>
              <w:lang w:eastAsia="el-GR"/>
              <w14:ligatures w14:val="standardContextual"/>
            </w:rPr>
          </w:pPr>
          <w:hyperlink w:anchor="_Toc137323483" w:history="1">
            <w:r w:rsidR="00A54612" w:rsidRPr="00A54612">
              <w:rPr>
                <w:rFonts w:eastAsia="Calibri"/>
                <w:noProof/>
                <w:color w:val="0563C1"/>
                <w:sz w:val="20"/>
                <w:szCs w:val="20"/>
                <w:u w:val="single"/>
                <w:lang w:val="en-US"/>
              </w:rPr>
              <w:t>2.4</w:t>
            </w:r>
            <w:r w:rsidR="00A54612" w:rsidRPr="00A54612">
              <w:rPr>
                <w:rFonts w:ascii="Calibri" w:hAnsi="Calibri" w:cs="Arial"/>
                <w:noProof/>
                <w:kern w:val="2"/>
                <w:lang w:eastAsia="el-GR"/>
                <w14:ligatures w14:val="standardContextual"/>
              </w:rPr>
              <w:tab/>
            </w:r>
            <w:r w:rsidR="00A54612" w:rsidRPr="00A54612">
              <w:rPr>
                <w:rFonts w:eastAsia="Calibri"/>
                <w:noProof/>
                <w:color w:val="0563C1"/>
                <w:sz w:val="20"/>
                <w:szCs w:val="20"/>
                <w:u w:val="single"/>
                <w:lang w:val="en-US"/>
              </w:rPr>
              <w:t>Rate of Change of Frequency (RoCoF) withstand capability</w:t>
            </w:r>
            <w:r w:rsidR="00A54612" w:rsidRPr="00A54612">
              <w:rPr>
                <w:rFonts w:ascii="Calibri" w:eastAsia="Calibri" w:hAnsi="Calibri" w:cs="Arial"/>
                <w:noProof/>
                <w:webHidden/>
                <w:sz w:val="20"/>
                <w:szCs w:val="20"/>
                <w:lang w:val="en-US"/>
              </w:rPr>
              <w:tab/>
            </w:r>
            <w:r w:rsidR="00A54612" w:rsidRPr="00A54612">
              <w:rPr>
                <w:rFonts w:ascii="Calibri" w:eastAsia="Calibri" w:hAnsi="Calibri" w:cs="Arial"/>
                <w:noProof/>
                <w:webHidden/>
                <w:sz w:val="20"/>
                <w:szCs w:val="20"/>
                <w:lang w:val="en-US"/>
              </w:rPr>
              <w:fldChar w:fldCharType="begin"/>
            </w:r>
            <w:r w:rsidR="00A54612" w:rsidRPr="00A54612">
              <w:rPr>
                <w:rFonts w:ascii="Calibri" w:eastAsia="Calibri" w:hAnsi="Calibri" w:cs="Arial"/>
                <w:noProof/>
                <w:webHidden/>
                <w:sz w:val="20"/>
                <w:szCs w:val="20"/>
                <w:lang w:val="en-US"/>
              </w:rPr>
              <w:instrText xml:space="preserve"> PAGEREF _Toc137323483 \h </w:instrText>
            </w:r>
            <w:r w:rsidR="00A54612" w:rsidRPr="00A54612">
              <w:rPr>
                <w:rFonts w:ascii="Calibri" w:eastAsia="Calibri" w:hAnsi="Calibri" w:cs="Arial"/>
                <w:noProof/>
                <w:webHidden/>
                <w:sz w:val="20"/>
                <w:szCs w:val="20"/>
                <w:lang w:val="en-US"/>
              </w:rPr>
            </w:r>
            <w:r w:rsidR="00A54612" w:rsidRPr="00A54612">
              <w:rPr>
                <w:rFonts w:ascii="Calibri" w:eastAsia="Calibri" w:hAnsi="Calibri" w:cs="Arial"/>
                <w:noProof/>
                <w:webHidden/>
                <w:sz w:val="20"/>
                <w:szCs w:val="20"/>
                <w:lang w:val="en-US"/>
              </w:rPr>
              <w:fldChar w:fldCharType="separate"/>
            </w:r>
            <w:r w:rsidR="00363717">
              <w:rPr>
                <w:rFonts w:ascii="Calibri" w:eastAsia="Calibri" w:hAnsi="Calibri" w:cs="Arial"/>
                <w:noProof/>
                <w:webHidden/>
                <w:sz w:val="20"/>
                <w:szCs w:val="20"/>
                <w:lang w:val="en-US"/>
              </w:rPr>
              <w:t>7</w:t>
            </w:r>
            <w:r w:rsidR="00A54612" w:rsidRPr="00A54612">
              <w:rPr>
                <w:rFonts w:ascii="Calibri" w:eastAsia="Calibri" w:hAnsi="Calibri" w:cs="Arial"/>
                <w:noProof/>
                <w:webHidden/>
                <w:sz w:val="20"/>
                <w:szCs w:val="20"/>
                <w:lang w:val="en-US"/>
              </w:rPr>
              <w:fldChar w:fldCharType="end"/>
            </w:r>
          </w:hyperlink>
        </w:p>
        <w:p w14:paraId="020417D5" w14:textId="357CAE51" w:rsidR="00A54612" w:rsidRPr="00A54612" w:rsidRDefault="00C72D5D" w:rsidP="00A54612">
          <w:pPr>
            <w:widowControl/>
            <w:tabs>
              <w:tab w:val="clear" w:pos="1189"/>
              <w:tab w:val="left" w:pos="880"/>
              <w:tab w:val="right" w:leader="dot" w:pos="8630"/>
            </w:tabs>
            <w:autoSpaceDE/>
            <w:autoSpaceDN/>
            <w:spacing w:before="60" w:after="0" w:line="240" w:lineRule="auto"/>
            <w:ind w:left="221" w:right="0"/>
            <w:jc w:val="left"/>
            <w:rPr>
              <w:rFonts w:ascii="Calibri" w:hAnsi="Calibri" w:cs="Arial"/>
              <w:noProof/>
              <w:kern w:val="2"/>
              <w:lang w:eastAsia="el-GR"/>
              <w14:ligatures w14:val="standardContextual"/>
            </w:rPr>
          </w:pPr>
          <w:hyperlink w:anchor="_Toc137323484" w:history="1">
            <w:r w:rsidR="00A54612" w:rsidRPr="00A54612">
              <w:rPr>
                <w:rFonts w:eastAsia="Calibri"/>
                <w:noProof/>
                <w:color w:val="0563C1"/>
                <w:sz w:val="20"/>
                <w:szCs w:val="20"/>
                <w:u w:val="single"/>
                <w:lang w:val="en-US"/>
              </w:rPr>
              <w:t>2.5</w:t>
            </w:r>
            <w:r w:rsidR="00A54612" w:rsidRPr="00A54612">
              <w:rPr>
                <w:rFonts w:ascii="Calibri" w:hAnsi="Calibri" w:cs="Arial"/>
                <w:noProof/>
                <w:kern w:val="2"/>
                <w:lang w:eastAsia="el-GR"/>
                <w14:ligatures w14:val="standardContextual"/>
              </w:rPr>
              <w:tab/>
            </w:r>
            <w:r w:rsidR="00A54612" w:rsidRPr="00A54612">
              <w:rPr>
                <w:rFonts w:eastAsia="Calibri"/>
                <w:noProof/>
                <w:color w:val="0563C1"/>
                <w:sz w:val="20"/>
                <w:szCs w:val="20"/>
                <w:u w:val="single"/>
                <w:lang w:val="en-US"/>
              </w:rPr>
              <w:t>Loss of Mains (LoM) detection</w:t>
            </w:r>
            <w:r w:rsidR="00A54612" w:rsidRPr="00A54612">
              <w:rPr>
                <w:rFonts w:ascii="Calibri" w:eastAsia="Calibri" w:hAnsi="Calibri" w:cs="Arial"/>
                <w:noProof/>
                <w:webHidden/>
                <w:sz w:val="20"/>
                <w:szCs w:val="20"/>
                <w:lang w:val="en-US"/>
              </w:rPr>
              <w:tab/>
            </w:r>
            <w:r w:rsidR="00A54612" w:rsidRPr="00A54612">
              <w:rPr>
                <w:rFonts w:ascii="Calibri" w:eastAsia="Calibri" w:hAnsi="Calibri" w:cs="Arial"/>
                <w:noProof/>
                <w:webHidden/>
                <w:sz w:val="20"/>
                <w:szCs w:val="20"/>
                <w:lang w:val="en-US"/>
              </w:rPr>
              <w:fldChar w:fldCharType="begin"/>
            </w:r>
            <w:r w:rsidR="00A54612" w:rsidRPr="00A54612">
              <w:rPr>
                <w:rFonts w:ascii="Calibri" w:eastAsia="Calibri" w:hAnsi="Calibri" w:cs="Arial"/>
                <w:noProof/>
                <w:webHidden/>
                <w:sz w:val="20"/>
                <w:szCs w:val="20"/>
                <w:lang w:val="en-US"/>
              </w:rPr>
              <w:instrText xml:space="preserve"> PAGEREF _Toc137323484 \h </w:instrText>
            </w:r>
            <w:r w:rsidR="00A54612" w:rsidRPr="00A54612">
              <w:rPr>
                <w:rFonts w:ascii="Calibri" w:eastAsia="Calibri" w:hAnsi="Calibri" w:cs="Arial"/>
                <w:noProof/>
                <w:webHidden/>
                <w:sz w:val="20"/>
                <w:szCs w:val="20"/>
                <w:lang w:val="en-US"/>
              </w:rPr>
            </w:r>
            <w:r w:rsidR="00A54612" w:rsidRPr="00A54612">
              <w:rPr>
                <w:rFonts w:ascii="Calibri" w:eastAsia="Calibri" w:hAnsi="Calibri" w:cs="Arial"/>
                <w:noProof/>
                <w:webHidden/>
                <w:sz w:val="20"/>
                <w:szCs w:val="20"/>
                <w:lang w:val="en-US"/>
              </w:rPr>
              <w:fldChar w:fldCharType="separate"/>
            </w:r>
            <w:r w:rsidR="00363717">
              <w:rPr>
                <w:rFonts w:ascii="Calibri" w:eastAsia="Calibri" w:hAnsi="Calibri" w:cs="Arial"/>
                <w:noProof/>
                <w:webHidden/>
                <w:sz w:val="20"/>
                <w:szCs w:val="20"/>
                <w:lang w:val="en-US"/>
              </w:rPr>
              <w:t>7</w:t>
            </w:r>
            <w:r w:rsidR="00A54612" w:rsidRPr="00A54612">
              <w:rPr>
                <w:rFonts w:ascii="Calibri" w:eastAsia="Calibri" w:hAnsi="Calibri" w:cs="Arial"/>
                <w:noProof/>
                <w:webHidden/>
                <w:sz w:val="20"/>
                <w:szCs w:val="20"/>
                <w:lang w:val="en-US"/>
              </w:rPr>
              <w:fldChar w:fldCharType="end"/>
            </w:r>
          </w:hyperlink>
        </w:p>
        <w:p w14:paraId="7212E9AB" w14:textId="07471B8A" w:rsidR="00A54612" w:rsidRPr="00A54612" w:rsidRDefault="00C72D5D" w:rsidP="00A54612">
          <w:pPr>
            <w:widowControl/>
            <w:tabs>
              <w:tab w:val="clear" w:pos="1189"/>
              <w:tab w:val="left" w:pos="440"/>
              <w:tab w:val="right" w:leader="dot" w:pos="8630"/>
            </w:tabs>
            <w:autoSpaceDE/>
            <w:autoSpaceDN/>
            <w:spacing w:before="120" w:after="0" w:line="240" w:lineRule="auto"/>
            <w:ind w:right="0"/>
            <w:jc w:val="left"/>
            <w:rPr>
              <w:rFonts w:ascii="Calibri" w:hAnsi="Calibri" w:cs="Arial"/>
              <w:noProof/>
              <w:kern w:val="2"/>
              <w:lang w:eastAsia="el-GR"/>
              <w14:ligatures w14:val="standardContextual"/>
            </w:rPr>
          </w:pPr>
          <w:hyperlink w:anchor="_Toc137323485" w:history="1">
            <w:r w:rsidR="00A54612" w:rsidRPr="00A54612">
              <w:rPr>
                <w:rFonts w:ascii="Calibri" w:eastAsia="Calibri" w:hAnsi="Calibri" w:cs="Arial"/>
                <w:b/>
                <w:bCs/>
                <w:noProof/>
                <w:color w:val="0563C1"/>
                <w:u w:val="single"/>
                <w:lang w:val="en-US"/>
              </w:rPr>
              <w:t>3</w:t>
            </w:r>
            <w:r w:rsidR="00A54612" w:rsidRPr="00A54612">
              <w:rPr>
                <w:rFonts w:ascii="Calibri" w:hAnsi="Calibri" w:cs="Arial"/>
                <w:noProof/>
                <w:kern w:val="2"/>
                <w:lang w:eastAsia="el-GR"/>
                <w14:ligatures w14:val="standardContextual"/>
              </w:rPr>
              <w:tab/>
            </w:r>
            <w:r w:rsidR="00A54612" w:rsidRPr="00A54612">
              <w:rPr>
                <w:rFonts w:ascii="Calibri" w:eastAsia="Calibri" w:hAnsi="Calibri" w:cs="Arial"/>
                <w:b/>
                <w:bCs/>
                <w:noProof/>
                <w:color w:val="0563C1"/>
                <w:u w:val="single"/>
                <w:lang w:val="en-US"/>
              </w:rPr>
              <w:t>Active Power control Requirements</w:t>
            </w:r>
            <w:r w:rsidR="00A54612" w:rsidRPr="00A54612">
              <w:rPr>
                <w:rFonts w:ascii="Calibri" w:eastAsia="Calibri" w:hAnsi="Calibri" w:cs="Arial"/>
                <w:b/>
                <w:bCs/>
                <w:noProof/>
                <w:webHidden/>
                <w:lang w:val="en-US"/>
              </w:rPr>
              <w:tab/>
            </w:r>
            <w:r w:rsidR="00A54612" w:rsidRPr="00A54612">
              <w:rPr>
                <w:rFonts w:ascii="Calibri" w:eastAsia="Calibri" w:hAnsi="Calibri" w:cs="Arial"/>
                <w:b/>
                <w:bCs/>
                <w:noProof/>
                <w:webHidden/>
                <w:lang w:val="en-US"/>
              </w:rPr>
              <w:fldChar w:fldCharType="begin"/>
            </w:r>
            <w:r w:rsidR="00A54612" w:rsidRPr="00A54612">
              <w:rPr>
                <w:rFonts w:ascii="Calibri" w:eastAsia="Calibri" w:hAnsi="Calibri" w:cs="Arial"/>
                <w:b/>
                <w:bCs/>
                <w:noProof/>
                <w:webHidden/>
                <w:lang w:val="en-US"/>
              </w:rPr>
              <w:instrText xml:space="preserve"> PAGEREF _Toc137323485 \h </w:instrText>
            </w:r>
            <w:r w:rsidR="00A54612" w:rsidRPr="00A54612">
              <w:rPr>
                <w:rFonts w:ascii="Calibri" w:eastAsia="Calibri" w:hAnsi="Calibri" w:cs="Arial"/>
                <w:b/>
                <w:bCs/>
                <w:noProof/>
                <w:webHidden/>
                <w:lang w:val="en-US"/>
              </w:rPr>
            </w:r>
            <w:r w:rsidR="00A54612" w:rsidRPr="00A54612">
              <w:rPr>
                <w:rFonts w:ascii="Calibri" w:eastAsia="Calibri" w:hAnsi="Calibri" w:cs="Arial"/>
                <w:b/>
                <w:bCs/>
                <w:noProof/>
                <w:webHidden/>
                <w:lang w:val="en-US"/>
              </w:rPr>
              <w:fldChar w:fldCharType="separate"/>
            </w:r>
            <w:r w:rsidR="00363717">
              <w:rPr>
                <w:rFonts w:ascii="Calibri" w:eastAsia="Calibri" w:hAnsi="Calibri" w:cs="Arial"/>
                <w:b/>
                <w:bCs/>
                <w:noProof/>
                <w:webHidden/>
                <w:lang w:val="en-US"/>
              </w:rPr>
              <w:t>7</w:t>
            </w:r>
            <w:r w:rsidR="00A54612" w:rsidRPr="00A54612">
              <w:rPr>
                <w:rFonts w:ascii="Calibri" w:eastAsia="Calibri" w:hAnsi="Calibri" w:cs="Arial"/>
                <w:b/>
                <w:bCs/>
                <w:noProof/>
                <w:webHidden/>
                <w:lang w:val="en-US"/>
              </w:rPr>
              <w:fldChar w:fldCharType="end"/>
            </w:r>
          </w:hyperlink>
        </w:p>
        <w:p w14:paraId="5A9B342A" w14:textId="4844E1A0" w:rsidR="00A54612" w:rsidRPr="00A54612" w:rsidRDefault="00C72D5D" w:rsidP="00A54612">
          <w:pPr>
            <w:widowControl/>
            <w:tabs>
              <w:tab w:val="clear" w:pos="1189"/>
              <w:tab w:val="left" w:pos="440"/>
              <w:tab w:val="right" w:leader="dot" w:pos="8630"/>
            </w:tabs>
            <w:autoSpaceDE/>
            <w:autoSpaceDN/>
            <w:spacing w:before="120" w:after="0" w:line="240" w:lineRule="auto"/>
            <w:ind w:right="0"/>
            <w:jc w:val="left"/>
            <w:rPr>
              <w:rFonts w:ascii="Calibri" w:hAnsi="Calibri" w:cs="Arial"/>
              <w:noProof/>
              <w:kern w:val="2"/>
              <w:lang w:eastAsia="el-GR"/>
              <w14:ligatures w14:val="standardContextual"/>
            </w:rPr>
          </w:pPr>
          <w:hyperlink w:anchor="_Toc137323486" w:history="1">
            <w:r w:rsidR="00A54612" w:rsidRPr="00A54612">
              <w:rPr>
                <w:rFonts w:ascii="Calibri" w:eastAsia="Calibri" w:hAnsi="Calibri" w:cs="Arial"/>
                <w:b/>
                <w:bCs/>
                <w:noProof/>
                <w:color w:val="0563C1"/>
                <w:u w:val="single"/>
                <w:lang w:val="en-US"/>
              </w:rPr>
              <w:t>4</w:t>
            </w:r>
            <w:r w:rsidR="00A54612" w:rsidRPr="00A54612">
              <w:rPr>
                <w:rFonts w:ascii="Calibri" w:hAnsi="Calibri" w:cs="Arial"/>
                <w:noProof/>
                <w:kern w:val="2"/>
                <w:lang w:eastAsia="el-GR"/>
                <w14:ligatures w14:val="standardContextual"/>
              </w:rPr>
              <w:tab/>
            </w:r>
            <w:r w:rsidR="00A54612" w:rsidRPr="00A54612">
              <w:rPr>
                <w:rFonts w:ascii="Calibri" w:eastAsia="Calibri" w:hAnsi="Calibri" w:cs="Arial"/>
                <w:b/>
                <w:bCs/>
                <w:noProof/>
                <w:color w:val="0563C1"/>
                <w:u w:val="single"/>
                <w:lang w:val="en-US"/>
              </w:rPr>
              <w:t>Frequency control Requirements</w:t>
            </w:r>
            <w:r w:rsidR="00A54612" w:rsidRPr="00A54612">
              <w:rPr>
                <w:rFonts w:ascii="Calibri" w:eastAsia="Calibri" w:hAnsi="Calibri" w:cs="Arial"/>
                <w:b/>
                <w:bCs/>
                <w:noProof/>
                <w:webHidden/>
                <w:lang w:val="en-US"/>
              </w:rPr>
              <w:tab/>
            </w:r>
            <w:r w:rsidR="00A54612" w:rsidRPr="00A54612">
              <w:rPr>
                <w:rFonts w:ascii="Calibri" w:eastAsia="Calibri" w:hAnsi="Calibri" w:cs="Arial"/>
                <w:b/>
                <w:bCs/>
                <w:noProof/>
                <w:webHidden/>
                <w:lang w:val="en-US"/>
              </w:rPr>
              <w:fldChar w:fldCharType="begin"/>
            </w:r>
            <w:r w:rsidR="00A54612" w:rsidRPr="00A54612">
              <w:rPr>
                <w:rFonts w:ascii="Calibri" w:eastAsia="Calibri" w:hAnsi="Calibri" w:cs="Arial"/>
                <w:b/>
                <w:bCs/>
                <w:noProof/>
                <w:webHidden/>
                <w:lang w:val="en-US"/>
              </w:rPr>
              <w:instrText xml:space="preserve"> PAGEREF _Toc137323486 \h </w:instrText>
            </w:r>
            <w:r w:rsidR="00A54612" w:rsidRPr="00A54612">
              <w:rPr>
                <w:rFonts w:ascii="Calibri" w:eastAsia="Calibri" w:hAnsi="Calibri" w:cs="Arial"/>
                <w:b/>
                <w:bCs/>
                <w:noProof/>
                <w:webHidden/>
                <w:lang w:val="en-US"/>
              </w:rPr>
            </w:r>
            <w:r w:rsidR="00A54612" w:rsidRPr="00A54612">
              <w:rPr>
                <w:rFonts w:ascii="Calibri" w:eastAsia="Calibri" w:hAnsi="Calibri" w:cs="Arial"/>
                <w:b/>
                <w:bCs/>
                <w:noProof/>
                <w:webHidden/>
                <w:lang w:val="en-US"/>
              </w:rPr>
              <w:fldChar w:fldCharType="separate"/>
            </w:r>
            <w:r w:rsidR="00363717">
              <w:rPr>
                <w:rFonts w:ascii="Calibri" w:eastAsia="Calibri" w:hAnsi="Calibri" w:cs="Arial"/>
                <w:b/>
                <w:bCs/>
                <w:noProof/>
                <w:webHidden/>
                <w:lang w:val="en-US"/>
              </w:rPr>
              <w:t>8</w:t>
            </w:r>
            <w:r w:rsidR="00A54612" w:rsidRPr="00A54612">
              <w:rPr>
                <w:rFonts w:ascii="Calibri" w:eastAsia="Calibri" w:hAnsi="Calibri" w:cs="Arial"/>
                <w:b/>
                <w:bCs/>
                <w:noProof/>
                <w:webHidden/>
                <w:lang w:val="en-US"/>
              </w:rPr>
              <w:fldChar w:fldCharType="end"/>
            </w:r>
          </w:hyperlink>
        </w:p>
        <w:p w14:paraId="0F2D2785" w14:textId="64FF51F2" w:rsidR="00A54612" w:rsidRPr="00A54612" w:rsidRDefault="00C72D5D" w:rsidP="00A54612">
          <w:pPr>
            <w:widowControl/>
            <w:tabs>
              <w:tab w:val="clear" w:pos="1189"/>
              <w:tab w:val="left" w:pos="880"/>
              <w:tab w:val="right" w:leader="dot" w:pos="8630"/>
            </w:tabs>
            <w:autoSpaceDE/>
            <w:autoSpaceDN/>
            <w:spacing w:before="60" w:after="0" w:line="240" w:lineRule="auto"/>
            <w:ind w:left="221" w:right="0"/>
            <w:jc w:val="left"/>
            <w:rPr>
              <w:rFonts w:ascii="Calibri" w:hAnsi="Calibri" w:cs="Arial"/>
              <w:noProof/>
              <w:kern w:val="2"/>
              <w:lang w:eastAsia="el-GR"/>
              <w14:ligatures w14:val="standardContextual"/>
            </w:rPr>
          </w:pPr>
          <w:hyperlink w:anchor="_Toc137323487" w:history="1">
            <w:r w:rsidR="00A54612" w:rsidRPr="00A54612">
              <w:rPr>
                <w:rFonts w:eastAsia="Calibri"/>
                <w:noProof/>
                <w:color w:val="0563C1"/>
                <w:sz w:val="20"/>
                <w:szCs w:val="20"/>
                <w:u w:val="single"/>
                <w:lang w:val="en-US"/>
              </w:rPr>
              <w:t>4.1</w:t>
            </w:r>
            <w:r w:rsidR="00A54612" w:rsidRPr="00A54612">
              <w:rPr>
                <w:rFonts w:ascii="Calibri" w:hAnsi="Calibri" w:cs="Arial"/>
                <w:noProof/>
                <w:kern w:val="2"/>
                <w:lang w:eastAsia="el-GR"/>
                <w14:ligatures w14:val="standardContextual"/>
              </w:rPr>
              <w:tab/>
            </w:r>
            <w:r w:rsidR="00A54612" w:rsidRPr="00A54612">
              <w:rPr>
                <w:rFonts w:eastAsia="Calibri"/>
                <w:noProof/>
                <w:color w:val="0563C1"/>
                <w:sz w:val="20"/>
                <w:szCs w:val="20"/>
                <w:u w:val="single"/>
                <w:lang w:val="en-US"/>
              </w:rPr>
              <w:t>Fast Frequency Response (FFR)</w:t>
            </w:r>
            <w:r w:rsidR="00A54612" w:rsidRPr="00A54612">
              <w:rPr>
                <w:rFonts w:ascii="Calibri" w:eastAsia="Calibri" w:hAnsi="Calibri" w:cs="Arial"/>
                <w:noProof/>
                <w:webHidden/>
                <w:sz w:val="20"/>
                <w:szCs w:val="20"/>
                <w:lang w:val="en-US"/>
              </w:rPr>
              <w:tab/>
            </w:r>
            <w:r w:rsidR="00A54612" w:rsidRPr="00A54612">
              <w:rPr>
                <w:rFonts w:ascii="Calibri" w:eastAsia="Calibri" w:hAnsi="Calibri" w:cs="Arial"/>
                <w:noProof/>
                <w:webHidden/>
                <w:sz w:val="20"/>
                <w:szCs w:val="20"/>
                <w:lang w:val="en-US"/>
              </w:rPr>
              <w:fldChar w:fldCharType="begin"/>
            </w:r>
            <w:r w:rsidR="00A54612" w:rsidRPr="00A54612">
              <w:rPr>
                <w:rFonts w:ascii="Calibri" w:eastAsia="Calibri" w:hAnsi="Calibri" w:cs="Arial"/>
                <w:noProof/>
                <w:webHidden/>
                <w:sz w:val="20"/>
                <w:szCs w:val="20"/>
                <w:lang w:val="en-US"/>
              </w:rPr>
              <w:instrText xml:space="preserve"> PAGEREF _Toc137323487 \h </w:instrText>
            </w:r>
            <w:r w:rsidR="00A54612" w:rsidRPr="00A54612">
              <w:rPr>
                <w:rFonts w:ascii="Calibri" w:eastAsia="Calibri" w:hAnsi="Calibri" w:cs="Arial"/>
                <w:noProof/>
                <w:webHidden/>
                <w:sz w:val="20"/>
                <w:szCs w:val="20"/>
                <w:lang w:val="en-US"/>
              </w:rPr>
            </w:r>
            <w:r w:rsidR="00A54612" w:rsidRPr="00A54612">
              <w:rPr>
                <w:rFonts w:ascii="Calibri" w:eastAsia="Calibri" w:hAnsi="Calibri" w:cs="Arial"/>
                <w:noProof/>
                <w:webHidden/>
                <w:sz w:val="20"/>
                <w:szCs w:val="20"/>
                <w:lang w:val="en-US"/>
              </w:rPr>
              <w:fldChar w:fldCharType="separate"/>
            </w:r>
            <w:r w:rsidR="00363717">
              <w:rPr>
                <w:rFonts w:ascii="Calibri" w:eastAsia="Calibri" w:hAnsi="Calibri" w:cs="Arial"/>
                <w:noProof/>
                <w:webHidden/>
                <w:sz w:val="20"/>
                <w:szCs w:val="20"/>
                <w:lang w:val="en-US"/>
              </w:rPr>
              <w:t>8</w:t>
            </w:r>
            <w:r w:rsidR="00A54612" w:rsidRPr="00A54612">
              <w:rPr>
                <w:rFonts w:ascii="Calibri" w:eastAsia="Calibri" w:hAnsi="Calibri" w:cs="Arial"/>
                <w:noProof/>
                <w:webHidden/>
                <w:sz w:val="20"/>
                <w:szCs w:val="20"/>
                <w:lang w:val="en-US"/>
              </w:rPr>
              <w:fldChar w:fldCharType="end"/>
            </w:r>
          </w:hyperlink>
        </w:p>
        <w:p w14:paraId="5251E13F" w14:textId="02EBA4C3" w:rsidR="00A54612" w:rsidRPr="00A54612" w:rsidRDefault="00C72D5D" w:rsidP="00A54612">
          <w:pPr>
            <w:widowControl/>
            <w:tabs>
              <w:tab w:val="clear" w:pos="1189"/>
              <w:tab w:val="left" w:pos="1320"/>
              <w:tab w:val="right" w:leader="dot" w:pos="8630"/>
            </w:tabs>
            <w:autoSpaceDE/>
            <w:autoSpaceDN/>
            <w:spacing w:after="0" w:line="240" w:lineRule="auto"/>
            <w:ind w:left="442" w:right="0"/>
            <w:jc w:val="left"/>
            <w:rPr>
              <w:rFonts w:ascii="Calibri" w:hAnsi="Calibri" w:cs="Arial"/>
              <w:noProof/>
              <w:kern w:val="2"/>
              <w:lang w:eastAsia="el-GR"/>
              <w14:ligatures w14:val="standardContextual"/>
            </w:rPr>
          </w:pPr>
          <w:hyperlink w:anchor="_Toc137323488" w:history="1">
            <w:r w:rsidR="00A54612" w:rsidRPr="00A54612">
              <w:rPr>
                <w:rFonts w:eastAsia="Calibri"/>
                <w:noProof/>
                <w:color w:val="0563C1"/>
                <w:u w:val="single"/>
                <w:lang w:val="en-US"/>
              </w:rPr>
              <w:t>4.1.1</w:t>
            </w:r>
            <w:r w:rsidR="00A54612" w:rsidRPr="00A54612">
              <w:rPr>
                <w:rFonts w:ascii="Calibri" w:hAnsi="Calibri" w:cs="Arial"/>
                <w:noProof/>
                <w:kern w:val="2"/>
                <w:lang w:eastAsia="el-GR"/>
                <w14:ligatures w14:val="standardContextual"/>
              </w:rPr>
              <w:tab/>
            </w:r>
            <w:r w:rsidR="00A54612" w:rsidRPr="00A54612">
              <w:rPr>
                <w:rFonts w:eastAsia="Calibri"/>
                <w:noProof/>
                <w:color w:val="0563C1"/>
                <w:u w:val="single"/>
                <w:lang w:val="en-US"/>
              </w:rPr>
              <w:t>Assigned Active Power for the Provision of FFR</w:t>
            </w:r>
            <w:r w:rsidR="00A54612" w:rsidRPr="00A54612">
              <w:rPr>
                <w:rFonts w:ascii="Calibri" w:eastAsia="Calibri" w:hAnsi="Calibri" w:cs="Arial"/>
                <w:noProof/>
                <w:webHidden/>
                <w:lang w:val="en-US"/>
              </w:rPr>
              <w:tab/>
            </w:r>
            <w:r w:rsidR="00A54612" w:rsidRPr="00A54612">
              <w:rPr>
                <w:rFonts w:ascii="Calibri" w:eastAsia="Calibri" w:hAnsi="Calibri" w:cs="Arial"/>
                <w:noProof/>
                <w:webHidden/>
                <w:lang w:val="en-US"/>
              </w:rPr>
              <w:fldChar w:fldCharType="begin"/>
            </w:r>
            <w:r w:rsidR="00A54612" w:rsidRPr="00A54612">
              <w:rPr>
                <w:rFonts w:ascii="Calibri" w:eastAsia="Calibri" w:hAnsi="Calibri" w:cs="Arial"/>
                <w:noProof/>
                <w:webHidden/>
                <w:lang w:val="en-US"/>
              </w:rPr>
              <w:instrText xml:space="preserve"> PAGEREF _Toc137323488 \h </w:instrText>
            </w:r>
            <w:r w:rsidR="00A54612" w:rsidRPr="00A54612">
              <w:rPr>
                <w:rFonts w:ascii="Calibri" w:eastAsia="Calibri" w:hAnsi="Calibri" w:cs="Arial"/>
                <w:noProof/>
                <w:webHidden/>
                <w:lang w:val="en-US"/>
              </w:rPr>
            </w:r>
            <w:r w:rsidR="00A54612" w:rsidRPr="00A54612">
              <w:rPr>
                <w:rFonts w:ascii="Calibri" w:eastAsia="Calibri" w:hAnsi="Calibri" w:cs="Arial"/>
                <w:noProof/>
                <w:webHidden/>
                <w:lang w:val="en-US"/>
              </w:rPr>
              <w:fldChar w:fldCharType="separate"/>
            </w:r>
            <w:r w:rsidR="00363717">
              <w:rPr>
                <w:rFonts w:ascii="Calibri" w:eastAsia="Calibri" w:hAnsi="Calibri" w:cs="Arial"/>
                <w:noProof/>
                <w:webHidden/>
                <w:lang w:val="en-US"/>
              </w:rPr>
              <w:t>9</w:t>
            </w:r>
            <w:r w:rsidR="00A54612" w:rsidRPr="00A54612">
              <w:rPr>
                <w:rFonts w:ascii="Calibri" w:eastAsia="Calibri" w:hAnsi="Calibri" w:cs="Arial"/>
                <w:noProof/>
                <w:webHidden/>
                <w:lang w:val="en-US"/>
              </w:rPr>
              <w:fldChar w:fldCharType="end"/>
            </w:r>
          </w:hyperlink>
        </w:p>
        <w:p w14:paraId="2A3B161D" w14:textId="4ECA33C0" w:rsidR="00A54612" w:rsidRPr="00A54612" w:rsidRDefault="00C72D5D" w:rsidP="00A54612">
          <w:pPr>
            <w:widowControl/>
            <w:tabs>
              <w:tab w:val="clear" w:pos="1189"/>
              <w:tab w:val="left" w:pos="1320"/>
              <w:tab w:val="right" w:leader="dot" w:pos="8630"/>
            </w:tabs>
            <w:autoSpaceDE/>
            <w:autoSpaceDN/>
            <w:spacing w:after="0" w:line="240" w:lineRule="auto"/>
            <w:ind w:left="442" w:right="0"/>
            <w:jc w:val="left"/>
            <w:rPr>
              <w:rFonts w:ascii="Calibri" w:hAnsi="Calibri" w:cs="Arial"/>
              <w:noProof/>
              <w:kern w:val="2"/>
              <w:lang w:eastAsia="el-GR"/>
              <w14:ligatures w14:val="standardContextual"/>
            </w:rPr>
          </w:pPr>
          <w:hyperlink w:anchor="_Toc137323489" w:history="1">
            <w:r w:rsidR="00A54612" w:rsidRPr="00A54612">
              <w:rPr>
                <w:rFonts w:eastAsia="Calibri"/>
                <w:noProof/>
                <w:color w:val="0563C1"/>
                <w:u w:val="single"/>
                <w:lang w:val="en-US"/>
              </w:rPr>
              <w:t>4.1.2</w:t>
            </w:r>
            <w:r w:rsidR="00A54612" w:rsidRPr="00A54612">
              <w:rPr>
                <w:rFonts w:ascii="Calibri" w:hAnsi="Calibri" w:cs="Arial"/>
                <w:noProof/>
                <w:kern w:val="2"/>
                <w:lang w:eastAsia="el-GR"/>
                <w14:ligatures w14:val="standardContextual"/>
              </w:rPr>
              <w:tab/>
            </w:r>
            <w:r w:rsidR="00A54612" w:rsidRPr="00A54612">
              <w:rPr>
                <w:rFonts w:eastAsia="Calibri"/>
                <w:noProof/>
                <w:color w:val="0563C1"/>
                <w:u w:val="single"/>
                <w:lang w:val="en-US"/>
              </w:rPr>
              <w:t>Grid Frequency Measurement</w:t>
            </w:r>
            <w:r w:rsidR="00A54612" w:rsidRPr="00A54612">
              <w:rPr>
                <w:rFonts w:ascii="Calibri" w:eastAsia="Calibri" w:hAnsi="Calibri" w:cs="Arial"/>
                <w:noProof/>
                <w:webHidden/>
                <w:lang w:val="en-US"/>
              </w:rPr>
              <w:tab/>
            </w:r>
            <w:r w:rsidR="00A54612" w:rsidRPr="00A54612">
              <w:rPr>
                <w:rFonts w:ascii="Calibri" w:eastAsia="Calibri" w:hAnsi="Calibri" w:cs="Arial"/>
                <w:noProof/>
                <w:webHidden/>
                <w:lang w:val="en-US"/>
              </w:rPr>
              <w:fldChar w:fldCharType="begin"/>
            </w:r>
            <w:r w:rsidR="00A54612" w:rsidRPr="00A54612">
              <w:rPr>
                <w:rFonts w:ascii="Calibri" w:eastAsia="Calibri" w:hAnsi="Calibri" w:cs="Arial"/>
                <w:noProof/>
                <w:webHidden/>
                <w:lang w:val="en-US"/>
              </w:rPr>
              <w:instrText xml:space="preserve"> PAGEREF _Toc137323489 \h </w:instrText>
            </w:r>
            <w:r w:rsidR="00A54612" w:rsidRPr="00A54612">
              <w:rPr>
                <w:rFonts w:ascii="Calibri" w:eastAsia="Calibri" w:hAnsi="Calibri" w:cs="Arial"/>
                <w:noProof/>
                <w:webHidden/>
                <w:lang w:val="en-US"/>
              </w:rPr>
            </w:r>
            <w:r w:rsidR="00A54612" w:rsidRPr="00A54612">
              <w:rPr>
                <w:rFonts w:ascii="Calibri" w:eastAsia="Calibri" w:hAnsi="Calibri" w:cs="Arial"/>
                <w:noProof/>
                <w:webHidden/>
                <w:lang w:val="en-US"/>
              </w:rPr>
              <w:fldChar w:fldCharType="separate"/>
            </w:r>
            <w:r w:rsidR="00363717">
              <w:rPr>
                <w:rFonts w:ascii="Calibri" w:eastAsia="Calibri" w:hAnsi="Calibri" w:cs="Arial"/>
                <w:noProof/>
                <w:webHidden/>
                <w:lang w:val="en-US"/>
              </w:rPr>
              <w:t>9</w:t>
            </w:r>
            <w:r w:rsidR="00A54612" w:rsidRPr="00A54612">
              <w:rPr>
                <w:rFonts w:ascii="Calibri" w:eastAsia="Calibri" w:hAnsi="Calibri" w:cs="Arial"/>
                <w:noProof/>
                <w:webHidden/>
                <w:lang w:val="en-US"/>
              </w:rPr>
              <w:fldChar w:fldCharType="end"/>
            </w:r>
          </w:hyperlink>
        </w:p>
        <w:p w14:paraId="37CC236A" w14:textId="588A3D6C" w:rsidR="00A54612" w:rsidRPr="00A54612" w:rsidRDefault="00C72D5D" w:rsidP="00A54612">
          <w:pPr>
            <w:widowControl/>
            <w:tabs>
              <w:tab w:val="clear" w:pos="1189"/>
              <w:tab w:val="left" w:pos="1320"/>
              <w:tab w:val="right" w:leader="dot" w:pos="8630"/>
            </w:tabs>
            <w:autoSpaceDE/>
            <w:autoSpaceDN/>
            <w:spacing w:after="0" w:line="240" w:lineRule="auto"/>
            <w:ind w:left="442" w:right="0"/>
            <w:jc w:val="left"/>
            <w:rPr>
              <w:rFonts w:ascii="Calibri" w:hAnsi="Calibri" w:cs="Arial"/>
              <w:noProof/>
              <w:kern w:val="2"/>
              <w:lang w:eastAsia="el-GR"/>
              <w14:ligatures w14:val="standardContextual"/>
            </w:rPr>
          </w:pPr>
          <w:hyperlink w:anchor="_Toc137323490" w:history="1">
            <w:r w:rsidR="00A54612" w:rsidRPr="00A54612">
              <w:rPr>
                <w:rFonts w:eastAsia="Calibri"/>
                <w:noProof/>
                <w:color w:val="0563C1"/>
                <w:u w:val="single"/>
                <w:lang w:val="en-US"/>
              </w:rPr>
              <w:t>4.1.3</w:t>
            </w:r>
            <w:r w:rsidR="00A54612" w:rsidRPr="00A54612">
              <w:rPr>
                <w:rFonts w:ascii="Calibri" w:hAnsi="Calibri" w:cs="Arial"/>
                <w:noProof/>
                <w:kern w:val="2"/>
                <w:lang w:eastAsia="el-GR"/>
                <w14:ligatures w14:val="standardContextual"/>
              </w:rPr>
              <w:tab/>
            </w:r>
            <w:r w:rsidR="00A54612" w:rsidRPr="00A54612">
              <w:rPr>
                <w:rFonts w:eastAsia="Calibri"/>
                <w:noProof/>
                <w:color w:val="0563C1"/>
                <w:u w:val="single"/>
                <w:lang w:val="en-US"/>
              </w:rPr>
              <w:t>Provision of FFR</w:t>
            </w:r>
            <w:r w:rsidR="00A54612" w:rsidRPr="00A54612">
              <w:rPr>
                <w:rFonts w:ascii="Calibri" w:eastAsia="Calibri" w:hAnsi="Calibri" w:cs="Arial"/>
                <w:noProof/>
                <w:webHidden/>
                <w:lang w:val="en-US"/>
              </w:rPr>
              <w:tab/>
            </w:r>
            <w:r w:rsidR="00A54612" w:rsidRPr="00A54612">
              <w:rPr>
                <w:rFonts w:ascii="Calibri" w:eastAsia="Calibri" w:hAnsi="Calibri" w:cs="Arial"/>
                <w:noProof/>
                <w:webHidden/>
                <w:lang w:val="en-US"/>
              </w:rPr>
              <w:fldChar w:fldCharType="begin"/>
            </w:r>
            <w:r w:rsidR="00A54612" w:rsidRPr="00A54612">
              <w:rPr>
                <w:rFonts w:ascii="Calibri" w:eastAsia="Calibri" w:hAnsi="Calibri" w:cs="Arial"/>
                <w:noProof/>
                <w:webHidden/>
                <w:lang w:val="en-US"/>
              </w:rPr>
              <w:instrText xml:space="preserve"> PAGEREF _Toc137323490 \h </w:instrText>
            </w:r>
            <w:r w:rsidR="00A54612" w:rsidRPr="00A54612">
              <w:rPr>
                <w:rFonts w:ascii="Calibri" w:eastAsia="Calibri" w:hAnsi="Calibri" w:cs="Arial"/>
                <w:noProof/>
                <w:webHidden/>
                <w:lang w:val="en-US"/>
              </w:rPr>
            </w:r>
            <w:r w:rsidR="00A54612" w:rsidRPr="00A54612">
              <w:rPr>
                <w:rFonts w:ascii="Calibri" w:eastAsia="Calibri" w:hAnsi="Calibri" w:cs="Arial"/>
                <w:noProof/>
                <w:webHidden/>
                <w:lang w:val="en-US"/>
              </w:rPr>
              <w:fldChar w:fldCharType="separate"/>
            </w:r>
            <w:r w:rsidR="00363717">
              <w:rPr>
                <w:rFonts w:ascii="Calibri" w:eastAsia="Calibri" w:hAnsi="Calibri" w:cs="Arial"/>
                <w:noProof/>
                <w:webHidden/>
                <w:lang w:val="en-US"/>
              </w:rPr>
              <w:t>9</w:t>
            </w:r>
            <w:r w:rsidR="00A54612" w:rsidRPr="00A54612">
              <w:rPr>
                <w:rFonts w:ascii="Calibri" w:eastAsia="Calibri" w:hAnsi="Calibri" w:cs="Arial"/>
                <w:noProof/>
                <w:webHidden/>
                <w:lang w:val="en-US"/>
              </w:rPr>
              <w:fldChar w:fldCharType="end"/>
            </w:r>
          </w:hyperlink>
        </w:p>
        <w:p w14:paraId="2D775AEC" w14:textId="5CE0796A" w:rsidR="00A54612" w:rsidRPr="00A54612" w:rsidRDefault="00C72D5D" w:rsidP="00A54612">
          <w:pPr>
            <w:widowControl/>
            <w:tabs>
              <w:tab w:val="clear" w:pos="1189"/>
              <w:tab w:val="left" w:pos="880"/>
              <w:tab w:val="right" w:leader="dot" w:pos="8630"/>
            </w:tabs>
            <w:autoSpaceDE/>
            <w:autoSpaceDN/>
            <w:spacing w:before="60" w:after="0" w:line="240" w:lineRule="auto"/>
            <w:ind w:left="221" w:right="0"/>
            <w:jc w:val="left"/>
            <w:rPr>
              <w:rFonts w:ascii="Calibri" w:hAnsi="Calibri" w:cs="Arial"/>
              <w:noProof/>
              <w:kern w:val="2"/>
              <w:lang w:eastAsia="el-GR"/>
              <w14:ligatures w14:val="standardContextual"/>
            </w:rPr>
          </w:pPr>
          <w:hyperlink w:anchor="_Toc137323491" w:history="1">
            <w:r w:rsidR="00A54612" w:rsidRPr="00A54612">
              <w:rPr>
                <w:rFonts w:eastAsia="Calibri"/>
                <w:noProof/>
                <w:color w:val="0563C1"/>
                <w:sz w:val="20"/>
                <w:szCs w:val="20"/>
                <w:u w:val="single"/>
                <w:lang w:val="en-US"/>
              </w:rPr>
              <w:t>4.2</w:t>
            </w:r>
            <w:r w:rsidR="00A54612" w:rsidRPr="00A54612">
              <w:rPr>
                <w:rFonts w:ascii="Calibri" w:hAnsi="Calibri" w:cs="Arial"/>
                <w:noProof/>
                <w:kern w:val="2"/>
                <w:lang w:eastAsia="el-GR"/>
                <w14:ligatures w14:val="standardContextual"/>
              </w:rPr>
              <w:tab/>
            </w:r>
            <w:r w:rsidR="00A54612" w:rsidRPr="00A54612">
              <w:rPr>
                <w:rFonts w:eastAsia="Calibri"/>
                <w:noProof/>
                <w:color w:val="0563C1"/>
                <w:sz w:val="20"/>
                <w:szCs w:val="20"/>
                <w:u w:val="single"/>
                <w:lang w:val="en-US"/>
              </w:rPr>
              <w:t>Frequency Sensitivity Mode</w:t>
            </w:r>
            <w:r w:rsidR="00A54612" w:rsidRPr="00A54612">
              <w:rPr>
                <w:rFonts w:ascii="Calibri" w:eastAsia="Calibri" w:hAnsi="Calibri" w:cs="Arial"/>
                <w:noProof/>
                <w:webHidden/>
                <w:sz w:val="20"/>
                <w:szCs w:val="20"/>
                <w:lang w:val="en-US"/>
              </w:rPr>
              <w:tab/>
            </w:r>
            <w:r w:rsidR="00A54612" w:rsidRPr="00A54612">
              <w:rPr>
                <w:rFonts w:ascii="Calibri" w:eastAsia="Calibri" w:hAnsi="Calibri" w:cs="Arial"/>
                <w:noProof/>
                <w:webHidden/>
                <w:sz w:val="20"/>
                <w:szCs w:val="20"/>
                <w:lang w:val="en-US"/>
              </w:rPr>
              <w:fldChar w:fldCharType="begin"/>
            </w:r>
            <w:r w:rsidR="00A54612" w:rsidRPr="00A54612">
              <w:rPr>
                <w:rFonts w:ascii="Calibri" w:eastAsia="Calibri" w:hAnsi="Calibri" w:cs="Arial"/>
                <w:noProof/>
                <w:webHidden/>
                <w:sz w:val="20"/>
                <w:szCs w:val="20"/>
                <w:lang w:val="en-US"/>
              </w:rPr>
              <w:instrText xml:space="preserve"> PAGEREF _Toc137323491 \h </w:instrText>
            </w:r>
            <w:r w:rsidR="00A54612" w:rsidRPr="00A54612">
              <w:rPr>
                <w:rFonts w:ascii="Calibri" w:eastAsia="Calibri" w:hAnsi="Calibri" w:cs="Arial"/>
                <w:noProof/>
                <w:webHidden/>
                <w:sz w:val="20"/>
                <w:szCs w:val="20"/>
                <w:lang w:val="en-US"/>
              </w:rPr>
            </w:r>
            <w:r w:rsidR="00A54612" w:rsidRPr="00A54612">
              <w:rPr>
                <w:rFonts w:ascii="Calibri" w:eastAsia="Calibri" w:hAnsi="Calibri" w:cs="Arial"/>
                <w:noProof/>
                <w:webHidden/>
                <w:sz w:val="20"/>
                <w:szCs w:val="20"/>
                <w:lang w:val="en-US"/>
              </w:rPr>
              <w:fldChar w:fldCharType="separate"/>
            </w:r>
            <w:r w:rsidR="00363717">
              <w:rPr>
                <w:rFonts w:ascii="Calibri" w:eastAsia="Calibri" w:hAnsi="Calibri" w:cs="Arial"/>
                <w:noProof/>
                <w:webHidden/>
                <w:sz w:val="20"/>
                <w:szCs w:val="20"/>
                <w:lang w:val="en-US"/>
              </w:rPr>
              <w:t>12</w:t>
            </w:r>
            <w:r w:rsidR="00A54612" w:rsidRPr="00A54612">
              <w:rPr>
                <w:rFonts w:ascii="Calibri" w:eastAsia="Calibri" w:hAnsi="Calibri" w:cs="Arial"/>
                <w:noProof/>
                <w:webHidden/>
                <w:sz w:val="20"/>
                <w:szCs w:val="20"/>
                <w:lang w:val="en-US"/>
              </w:rPr>
              <w:fldChar w:fldCharType="end"/>
            </w:r>
          </w:hyperlink>
        </w:p>
        <w:p w14:paraId="56E7D92A" w14:textId="277ED88E" w:rsidR="00A54612" w:rsidRPr="00A54612" w:rsidRDefault="00C72D5D" w:rsidP="00A54612">
          <w:pPr>
            <w:widowControl/>
            <w:tabs>
              <w:tab w:val="clear" w:pos="1189"/>
              <w:tab w:val="left" w:pos="880"/>
              <w:tab w:val="right" w:leader="dot" w:pos="8630"/>
            </w:tabs>
            <w:autoSpaceDE/>
            <w:autoSpaceDN/>
            <w:spacing w:before="60" w:after="0" w:line="240" w:lineRule="auto"/>
            <w:ind w:left="221" w:right="0"/>
            <w:jc w:val="left"/>
            <w:rPr>
              <w:rFonts w:ascii="Calibri" w:hAnsi="Calibri" w:cs="Arial"/>
              <w:noProof/>
              <w:kern w:val="2"/>
              <w:lang w:eastAsia="el-GR"/>
              <w14:ligatures w14:val="standardContextual"/>
            </w:rPr>
          </w:pPr>
          <w:hyperlink w:anchor="_Toc137323492" w:history="1">
            <w:r w:rsidR="00A54612" w:rsidRPr="00A54612">
              <w:rPr>
                <w:rFonts w:eastAsia="Calibri"/>
                <w:noProof/>
                <w:color w:val="0563C1"/>
                <w:sz w:val="20"/>
                <w:szCs w:val="20"/>
                <w:u w:val="single"/>
                <w:lang w:val="en-US"/>
              </w:rPr>
              <w:t>4.3</w:t>
            </w:r>
            <w:r w:rsidR="00A54612" w:rsidRPr="00A54612">
              <w:rPr>
                <w:rFonts w:ascii="Calibri" w:hAnsi="Calibri" w:cs="Arial"/>
                <w:noProof/>
                <w:kern w:val="2"/>
                <w:lang w:eastAsia="el-GR"/>
                <w14:ligatures w14:val="standardContextual"/>
              </w:rPr>
              <w:tab/>
            </w:r>
            <w:r w:rsidR="00A54612" w:rsidRPr="00A54612">
              <w:rPr>
                <w:rFonts w:eastAsia="Calibri"/>
                <w:noProof/>
                <w:color w:val="0563C1"/>
                <w:sz w:val="20"/>
                <w:szCs w:val="20"/>
                <w:u w:val="single"/>
                <w:lang w:val="en-US"/>
              </w:rPr>
              <w:t>Limited Frequency Sensitivity Mode - Over-frequency (LFSM-O)</w:t>
            </w:r>
            <w:r w:rsidR="00A54612" w:rsidRPr="00A54612">
              <w:rPr>
                <w:rFonts w:ascii="Calibri" w:eastAsia="Calibri" w:hAnsi="Calibri" w:cs="Arial"/>
                <w:noProof/>
                <w:webHidden/>
                <w:sz w:val="20"/>
                <w:szCs w:val="20"/>
                <w:lang w:val="en-US"/>
              </w:rPr>
              <w:tab/>
            </w:r>
            <w:r w:rsidR="00A54612" w:rsidRPr="00A54612">
              <w:rPr>
                <w:rFonts w:ascii="Calibri" w:eastAsia="Calibri" w:hAnsi="Calibri" w:cs="Arial"/>
                <w:noProof/>
                <w:webHidden/>
                <w:sz w:val="20"/>
                <w:szCs w:val="20"/>
                <w:lang w:val="en-US"/>
              </w:rPr>
              <w:fldChar w:fldCharType="begin"/>
            </w:r>
            <w:r w:rsidR="00A54612" w:rsidRPr="00A54612">
              <w:rPr>
                <w:rFonts w:ascii="Calibri" w:eastAsia="Calibri" w:hAnsi="Calibri" w:cs="Arial"/>
                <w:noProof/>
                <w:webHidden/>
                <w:sz w:val="20"/>
                <w:szCs w:val="20"/>
                <w:lang w:val="en-US"/>
              </w:rPr>
              <w:instrText xml:space="preserve"> PAGEREF _Toc137323492 \h </w:instrText>
            </w:r>
            <w:r w:rsidR="00A54612" w:rsidRPr="00A54612">
              <w:rPr>
                <w:rFonts w:ascii="Calibri" w:eastAsia="Calibri" w:hAnsi="Calibri" w:cs="Arial"/>
                <w:noProof/>
                <w:webHidden/>
                <w:sz w:val="20"/>
                <w:szCs w:val="20"/>
                <w:lang w:val="en-US"/>
              </w:rPr>
            </w:r>
            <w:r w:rsidR="00A54612" w:rsidRPr="00A54612">
              <w:rPr>
                <w:rFonts w:ascii="Calibri" w:eastAsia="Calibri" w:hAnsi="Calibri" w:cs="Arial"/>
                <w:noProof/>
                <w:webHidden/>
                <w:sz w:val="20"/>
                <w:szCs w:val="20"/>
                <w:lang w:val="en-US"/>
              </w:rPr>
              <w:fldChar w:fldCharType="separate"/>
            </w:r>
            <w:r w:rsidR="00363717">
              <w:rPr>
                <w:rFonts w:ascii="Calibri" w:eastAsia="Calibri" w:hAnsi="Calibri" w:cs="Arial"/>
                <w:noProof/>
                <w:webHidden/>
                <w:sz w:val="20"/>
                <w:szCs w:val="20"/>
                <w:lang w:val="en-US"/>
              </w:rPr>
              <w:t>15</w:t>
            </w:r>
            <w:r w:rsidR="00A54612" w:rsidRPr="00A54612">
              <w:rPr>
                <w:rFonts w:ascii="Calibri" w:eastAsia="Calibri" w:hAnsi="Calibri" w:cs="Arial"/>
                <w:noProof/>
                <w:webHidden/>
                <w:sz w:val="20"/>
                <w:szCs w:val="20"/>
                <w:lang w:val="en-US"/>
              </w:rPr>
              <w:fldChar w:fldCharType="end"/>
            </w:r>
          </w:hyperlink>
        </w:p>
        <w:p w14:paraId="1782FA66" w14:textId="24F29404" w:rsidR="00A54612" w:rsidRPr="00A54612" w:rsidRDefault="00C72D5D" w:rsidP="00A54612">
          <w:pPr>
            <w:widowControl/>
            <w:tabs>
              <w:tab w:val="clear" w:pos="1189"/>
              <w:tab w:val="left" w:pos="880"/>
              <w:tab w:val="right" w:leader="dot" w:pos="8630"/>
            </w:tabs>
            <w:autoSpaceDE/>
            <w:autoSpaceDN/>
            <w:spacing w:before="60" w:after="0" w:line="240" w:lineRule="auto"/>
            <w:ind w:left="221" w:right="0"/>
            <w:jc w:val="left"/>
            <w:rPr>
              <w:rFonts w:ascii="Calibri" w:hAnsi="Calibri" w:cs="Arial"/>
              <w:noProof/>
              <w:kern w:val="2"/>
              <w:lang w:eastAsia="el-GR"/>
              <w14:ligatures w14:val="standardContextual"/>
            </w:rPr>
          </w:pPr>
          <w:hyperlink w:anchor="_Toc137323493" w:history="1">
            <w:r w:rsidR="00A54612" w:rsidRPr="00A54612">
              <w:rPr>
                <w:rFonts w:eastAsia="Calibri"/>
                <w:noProof/>
                <w:color w:val="0563C1"/>
                <w:sz w:val="20"/>
                <w:szCs w:val="20"/>
                <w:u w:val="single"/>
                <w:lang w:val="en-US"/>
              </w:rPr>
              <w:t>4.4</w:t>
            </w:r>
            <w:r w:rsidR="00A54612" w:rsidRPr="00A54612">
              <w:rPr>
                <w:rFonts w:ascii="Calibri" w:hAnsi="Calibri" w:cs="Arial"/>
                <w:noProof/>
                <w:kern w:val="2"/>
                <w:lang w:eastAsia="el-GR"/>
                <w14:ligatures w14:val="standardContextual"/>
              </w:rPr>
              <w:tab/>
            </w:r>
            <w:r w:rsidR="00A54612" w:rsidRPr="00A54612">
              <w:rPr>
                <w:rFonts w:eastAsia="Calibri"/>
                <w:noProof/>
                <w:color w:val="0563C1"/>
                <w:sz w:val="20"/>
                <w:szCs w:val="20"/>
                <w:u w:val="single"/>
                <w:lang w:val="en-US"/>
              </w:rPr>
              <w:t>Limited Frequency Sensitivity Mode – Underfrequency (LFSM-U)</w:t>
            </w:r>
            <w:r w:rsidR="00A54612" w:rsidRPr="00A54612">
              <w:rPr>
                <w:rFonts w:ascii="Calibri" w:eastAsia="Calibri" w:hAnsi="Calibri" w:cs="Arial"/>
                <w:noProof/>
                <w:webHidden/>
                <w:sz w:val="20"/>
                <w:szCs w:val="20"/>
                <w:lang w:val="en-US"/>
              </w:rPr>
              <w:tab/>
            </w:r>
            <w:r w:rsidR="00A54612" w:rsidRPr="00A54612">
              <w:rPr>
                <w:rFonts w:ascii="Calibri" w:eastAsia="Calibri" w:hAnsi="Calibri" w:cs="Arial"/>
                <w:noProof/>
                <w:webHidden/>
                <w:sz w:val="20"/>
                <w:szCs w:val="20"/>
                <w:lang w:val="en-US"/>
              </w:rPr>
              <w:fldChar w:fldCharType="begin"/>
            </w:r>
            <w:r w:rsidR="00A54612" w:rsidRPr="00A54612">
              <w:rPr>
                <w:rFonts w:ascii="Calibri" w:eastAsia="Calibri" w:hAnsi="Calibri" w:cs="Arial"/>
                <w:noProof/>
                <w:webHidden/>
                <w:sz w:val="20"/>
                <w:szCs w:val="20"/>
                <w:lang w:val="en-US"/>
              </w:rPr>
              <w:instrText xml:space="preserve"> PAGEREF _Toc137323493 \h </w:instrText>
            </w:r>
            <w:r w:rsidR="00A54612" w:rsidRPr="00A54612">
              <w:rPr>
                <w:rFonts w:ascii="Calibri" w:eastAsia="Calibri" w:hAnsi="Calibri" w:cs="Arial"/>
                <w:noProof/>
                <w:webHidden/>
                <w:sz w:val="20"/>
                <w:szCs w:val="20"/>
                <w:lang w:val="en-US"/>
              </w:rPr>
            </w:r>
            <w:r w:rsidR="00A54612" w:rsidRPr="00A54612">
              <w:rPr>
                <w:rFonts w:ascii="Calibri" w:eastAsia="Calibri" w:hAnsi="Calibri" w:cs="Arial"/>
                <w:noProof/>
                <w:webHidden/>
                <w:sz w:val="20"/>
                <w:szCs w:val="20"/>
                <w:lang w:val="en-US"/>
              </w:rPr>
              <w:fldChar w:fldCharType="separate"/>
            </w:r>
            <w:r w:rsidR="00363717">
              <w:rPr>
                <w:rFonts w:ascii="Calibri" w:eastAsia="Calibri" w:hAnsi="Calibri" w:cs="Arial"/>
                <w:noProof/>
                <w:webHidden/>
                <w:sz w:val="20"/>
                <w:szCs w:val="20"/>
                <w:lang w:val="en-US"/>
              </w:rPr>
              <w:t>16</w:t>
            </w:r>
            <w:r w:rsidR="00A54612" w:rsidRPr="00A54612">
              <w:rPr>
                <w:rFonts w:ascii="Calibri" w:eastAsia="Calibri" w:hAnsi="Calibri" w:cs="Arial"/>
                <w:noProof/>
                <w:webHidden/>
                <w:sz w:val="20"/>
                <w:szCs w:val="20"/>
                <w:lang w:val="en-US"/>
              </w:rPr>
              <w:fldChar w:fldCharType="end"/>
            </w:r>
          </w:hyperlink>
        </w:p>
        <w:p w14:paraId="16CCE23D" w14:textId="2716FC8A" w:rsidR="00A54612" w:rsidRPr="00A54612" w:rsidRDefault="00C72D5D" w:rsidP="00A54612">
          <w:pPr>
            <w:widowControl/>
            <w:tabs>
              <w:tab w:val="clear" w:pos="1189"/>
              <w:tab w:val="left" w:pos="440"/>
              <w:tab w:val="right" w:leader="dot" w:pos="8630"/>
            </w:tabs>
            <w:autoSpaceDE/>
            <w:autoSpaceDN/>
            <w:spacing w:before="120" w:after="0" w:line="240" w:lineRule="auto"/>
            <w:ind w:right="0"/>
            <w:jc w:val="left"/>
            <w:rPr>
              <w:rFonts w:ascii="Calibri" w:hAnsi="Calibri" w:cs="Arial"/>
              <w:noProof/>
              <w:kern w:val="2"/>
              <w:lang w:eastAsia="el-GR"/>
              <w14:ligatures w14:val="standardContextual"/>
            </w:rPr>
          </w:pPr>
          <w:hyperlink w:anchor="_Toc137323494" w:history="1">
            <w:r w:rsidR="00A54612" w:rsidRPr="00A54612">
              <w:rPr>
                <w:rFonts w:ascii="Calibri" w:eastAsia="Calibri" w:hAnsi="Calibri" w:cs="Arial"/>
                <w:b/>
                <w:bCs/>
                <w:noProof/>
                <w:color w:val="0563C1"/>
                <w:u w:val="single"/>
                <w:lang w:val="en-US"/>
              </w:rPr>
              <w:t>5</w:t>
            </w:r>
            <w:r w:rsidR="00A54612" w:rsidRPr="00A54612">
              <w:rPr>
                <w:rFonts w:ascii="Calibri" w:hAnsi="Calibri" w:cs="Arial"/>
                <w:noProof/>
                <w:kern w:val="2"/>
                <w:lang w:eastAsia="el-GR"/>
                <w14:ligatures w14:val="standardContextual"/>
              </w:rPr>
              <w:tab/>
            </w:r>
            <w:r w:rsidR="00A54612" w:rsidRPr="00A54612">
              <w:rPr>
                <w:rFonts w:ascii="Calibri" w:eastAsia="Calibri" w:hAnsi="Calibri" w:cs="Arial"/>
                <w:b/>
                <w:bCs/>
                <w:noProof/>
                <w:color w:val="0563C1"/>
                <w:u w:val="single"/>
                <w:lang w:val="en-US"/>
              </w:rPr>
              <w:t>Reactive power capability for ESM</w:t>
            </w:r>
            <w:r w:rsidR="00A54612" w:rsidRPr="00A54612">
              <w:rPr>
                <w:rFonts w:ascii="Calibri" w:eastAsia="Calibri" w:hAnsi="Calibri" w:cs="Arial"/>
                <w:b/>
                <w:bCs/>
                <w:noProof/>
                <w:webHidden/>
                <w:lang w:val="en-US"/>
              </w:rPr>
              <w:tab/>
            </w:r>
            <w:r w:rsidR="00A54612" w:rsidRPr="00A54612">
              <w:rPr>
                <w:rFonts w:ascii="Calibri" w:eastAsia="Calibri" w:hAnsi="Calibri" w:cs="Arial"/>
                <w:b/>
                <w:bCs/>
                <w:noProof/>
                <w:webHidden/>
                <w:lang w:val="en-US"/>
              </w:rPr>
              <w:fldChar w:fldCharType="begin"/>
            </w:r>
            <w:r w:rsidR="00A54612" w:rsidRPr="00A54612">
              <w:rPr>
                <w:rFonts w:ascii="Calibri" w:eastAsia="Calibri" w:hAnsi="Calibri" w:cs="Arial"/>
                <w:b/>
                <w:bCs/>
                <w:noProof/>
                <w:webHidden/>
                <w:lang w:val="en-US"/>
              </w:rPr>
              <w:instrText xml:space="preserve"> PAGEREF _Toc137323494 \h </w:instrText>
            </w:r>
            <w:r w:rsidR="00A54612" w:rsidRPr="00A54612">
              <w:rPr>
                <w:rFonts w:ascii="Calibri" w:eastAsia="Calibri" w:hAnsi="Calibri" w:cs="Arial"/>
                <w:b/>
                <w:bCs/>
                <w:noProof/>
                <w:webHidden/>
                <w:lang w:val="en-US"/>
              </w:rPr>
            </w:r>
            <w:r w:rsidR="00A54612" w:rsidRPr="00A54612">
              <w:rPr>
                <w:rFonts w:ascii="Calibri" w:eastAsia="Calibri" w:hAnsi="Calibri" w:cs="Arial"/>
                <w:b/>
                <w:bCs/>
                <w:noProof/>
                <w:webHidden/>
                <w:lang w:val="en-US"/>
              </w:rPr>
              <w:fldChar w:fldCharType="separate"/>
            </w:r>
            <w:r w:rsidR="00363717">
              <w:rPr>
                <w:rFonts w:ascii="Calibri" w:eastAsia="Calibri" w:hAnsi="Calibri" w:cs="Arial"/>
                <w:b/>
                <w:bCs/>
                <w:noProof/>
                <w:webHidden/>
                <w:lang w:val="en-US"/>
              </w:rPr>
              <w:t>18</w:t>
            </w:r>
            <w:r w:rsidR="00A54612" w:rsidRPr="00A54612">
              <w:rPr>
                <w:rFonts w:ascii="Calibri" w:eastAsia="Calibri" w:hAnsi="Calibri" w:cs="Arial"/>
                <w:b/>
                <w:bCs/>
                <w:noProof/>
                <w:webHidden/>
                <w:lang w:val="en-US"/>
              </w:rPr>
              <w:fldChar w:fldCharType="end"/>
            </w:r>
          </w:hyperlink>
        </w:p>
        <w:p w14:paraId="4D100711" w14:textId="09251CEC" w:rsidR="00A54612" w:rsidRPr="00A54612" w:rsidRDefault="00C72D5D" w:rsidP="00A54612">
          <w:pPr>
            <w:widowControl/>
            <w:tabs>
              <w:tab w:val="clear" w:pos="1189"/>
              <w:tab w:val="left" w:pos="440"/>
              <w:tab w:val="right" w:leader="dot" w:pos="8630"/>
            </w:tabs>
            <w:autoSpaceDE/>
            <w:autoSpaceDN/>
            <w:spacing w:before="120" w:after="0" w:line="240" w:lineRule="auto"/>
            <w:ind w:right="0"/>
            <w:jc w:val="left"/>
            <w:rPr>
              <w:rFonts w:ascii="Calibri" w:hAnsi="Calibri" w:cs="Arial"/>
              <w:noProof/>
              <w:kern w:val="2"/>
              <w:lang w:eastAsia="el-GR"/>
              <w14:ligatures w14:val="standardContextual"/>
            </w:rPr>
          </w:pPr>
          <w:hyperlink w:anchor="_Toc137323495" w:history="1">
            <w:r w:rsidR="00A54612" w:rsidRPr="00A54612">
              <w:rPr>
                <w:rFonts w:ascii="Calibri" w:eastAsia="Calibri" w:hAnsi="Calibri" w:cs="Arial"/>
                <w:b/>
                <w:bCs/>
                <w:noProof/>
                <w:color w:val="0563C1"/>
                <w:u w:val="single"/>
                <w:lang w:val="en-US"/>
              </w:rPr>
              <w:t>6</w:t>
            </w:r>
            <w:r w:rsidR="00A54612" w:rsidRPr="00A54612">
              <w:rPr>
                <w:rFonts w:ascii="Calibri" w:hAnsi="Calibri" w:cs="Arial"/>
                <w:noProof/>
                <w:kern w:val="2"/>
                <w:lang w:eastAsia="el-GR"/>
                <w14:ligatures w14:val="standardContextual"/>
              </w:rPr>
              <w:tab/>
            </w:r>
            <w:r w:rsidR="00A54612" w:rsidRPr="00A54612">
              <w:rPr>
                <w:rFonts w:ascii="Calibri" w:eastAsia="Calibri" w:hAnsi="Calibri" w:cs="Arial"/>
                <w:b/>
                <w:bCs/>
                <w:noProof/>
                <w:color w:val="0563C1"/>
                <w:u w:val="single"/>
                <w:lang w:val="en-US"/>
              </w:rPr>
              <w:t>Reactive Power control for ESM</w:t>
            </w:r>
            <w:r w:rsidR="00A54612" w:rsidRPr="00A54612">
              <w:rPr>
                <w:rFonts w:ascii="Calibri" w:eastAsia="Calibri" w:hAnsi="Calibri" w:cs="Arial"/>
                <w:b/>
                <w:bCs/>
                <w:noProof/>
                <w:webHidden/>
                <w:lang w:val="en-US"/>
              </w:rPr>
              <w:tab/>
            </w:r>
            <w:r w:rsidR="00A54612" w:rsidRPr="00A54612">
              <w:rPr>
                <w:rFonts w:ascii="Calibri" w:eastAsia="Calibri" w:hAnsi="Calibri" w:cs="Arial"/>
                <w:b/>
                <w:bCs/>
                <w:noProof/>
                <w:webHidden/>
                <w:lang w:val="en-US"/>
              </w:rPr>
              <w:fldChar w:fldCharType="begin"/>
            </w:r>
            <w:r w:rsidR="00A54612" w:rsidRPr="00A54612">
              <w:rPr>
                <w:rFonts w:ascii="Calibri" w:eastAsia="Calibri" w:hAnsi="Calibri" w:cs="Arial"/>
                <w:b/>
                <w:bCs/>
                <w:noProof/>
                <w:webHidden/>
                <w:lang w:val="en-US"/>
              </w:rPr>
              <w:instrText xml:space="preserve"> PAGEREF _Toc137323495 \h </w:instrText>
            </w:r>
            <w:r w:rsidR="00A54612" w:rsidRPr="00A54612">
              <w:rPr>
                <w:rFonts w:ascii="Calibri" w:eastAsia="Calibri" w:hAnsi="Calibri" w:cs="Arial"/>
                <w:b/>
                <w:bCs/>
                <w:noProof/>
                <w:webHidden/>
                <w:lang w:val="en-US"/>
              </w:rPr>
            </w:r>
            <w:r w:rsidR="00A54612" w:rsidRPr="00A54612">
              <w:rPr>
                <w:rFonts w:ascii="Calibri" w:eastAsia="Calibri" w:hAnsi="Calibri" w:cs="Arial"/>
                <w:b/>
                <w:bCs/>
                <w:noProof/>
                <w:webHidden/>
                <w:lang w:val="en-US"/>
              </w:rPr>
              <w:fldChar w:fldCharType="separate"/>
            </w:r>
            <w:r w:rsidR="00363717">
              <w:rPr>
                <w:rFonts w:ascii="Calibri" w:eastAsia="Calibri" w:hAnsi="Calibri" w:cs="Arial"/>
                <w:b/>
                <w:bCs/>
                <w:noProof/>
                <w:webHidden/>
                <w:lang w:val="en-US"/>
              </w:rPr>
              <w:t>20</w:t>
            </w:r>
            <w:r w:rsidR="00A54612" w:rsidRPr="00A54612">
              <w:rPr>
                <w:rFonts w:ascii="Calibri" w:eastAsia="Calibri" w:hAnsi="Calibri" w:cs="Arial"/>
                <w:b/>
                <w:bCs/>
                <w:noProof/>
                <w:webHidden/>
                <w:lang w:val="en-US"/>
              </w:rPr>
              <w:fldChar w:fldCharType="end"/>
            </w:r>
          </w:hyperlink>
        </w:p>
        <w:p w14:paraId="7AEBE6E5" w14:textId="40A7CBCA" w:rsidR="00A54612" w:rsidRPr="00A54612" w:rsidRDefault="00C72D5D" w:rsidP="00A54612">
          <w:pPr>
            <w:widowControl/>
            <w:tabs>
              <w:tab w:val="clear" w:pos="1189"/>
              <w:tab w:val="left" w:pos="440"/>
              <w:tab w:val="right" w:leader="dot" w:pos="8630"/>
            </w:tabs>
            <w:autoSpaceDE/>
            <w:autoSpaceDN/>
            <w:spacing w:before="120" w:after="0" w:line="240" w:lineRule="auto"/>
            <w:ind w:right="0"/>
            <w:jc w:val="left"/>
            <w:rPr>
              <w:rFonts w:ascii="Calibri" w:hAnsi="Calibri" w:cs="Arial"/>
              <w:noProof/>
              <w:kern w:val="2"/>
              <w:lang w:eastAsia="el-GR"/>
              <w14:ligatures w14:val="standardContextual"/>
            </w:rPr>
          </w:pPr>
          <w:hyperlink w:anchor="_Toc137323496" w:history="1">
            <w:r w:rsidR="00A54612" w:rsidRPr="00A54612">
              <w:rPr>
                <w:rFonts w:ascii="Calibri" w:eastAsia="Calibri" w:hAnsi="Calibri" w:cs="Arial"/>
                <w:b/>
                <w:bCs/>
                <w:noProof/>
                <w:color w:val="0563C1"/>
                <w:u w:val="single"/>
                <w:lang w:val="en-US"/>
              </w:rPr>
              <w:t>7</w:t>
            </w:r>
            <w:r w:rsidR="00A54612" w:rsidRPr="00A54612">
              <w:rPr>
                <w:rFonts w:ascii="Calibri" w:hAnsi="Calibri" w:cs="Arial"/>
                <w:noProof/>
                <w:kern w:val="2"/>
                <w:lang w:eastAsia="el-GR"/>
                <w14:ligatures w14:val="standardContextual"/>
              </w:rPr>
              <w:tab/>
            </w:r>
            <w:r w:rsidR="00A54612" w:rsidRPr="00A54612">
              <w:rPr>
                <w:rFonts w:ascii="Calibri" w:eastAsia="Calibri" w:hAnsi="Calibri" w:cs="Arial"/>
                <w:b/>
                <w:bCs/>
                <w:noProof/>
                <w:color w:val="0563C1"/>
                <w:u w:val="single"/>
                <w:lang w:val="en-US"/>
              </w:rPr>
              <w:t>Simulation Models</w:t>
            </w:r>
            <w:r w:rsidR="00A54612" w:rsidRPr="00A54612">
              <w:rPr>
                <w:rFonts w:ascii="Calibri" w:eastAsia="Calibri" w:hAnsi="Calibri" w:cs="Arial"/>
                <w:b/>
                <w:bCs/>
                <w:noProof/>
                <w:webHidden/>
                <w:lang w:val="en-US"/>
              </w:rPr>
              <w:tab/>
            </w:r>
            <w:r w:rsidR="00A54612" w:rsidRPr="00A54612">
              <w:rPr>
                <w:rFonts w:ascii="Calibri" w:eastAsia="Calibri" w:hAnsi="Calibri" w:cs="Arial"/>
                <w:b/>
                <w:bCs/>
                <w:noProof/>
                <w:webHidden/>
                <w:lang w:val="en-US"/>
              </w:rPr>
              <w:fldChar w:fldCharType="begin"/>
            </w:r>
            <w:r w:rsidR="00A54612" w:rsidRPr="00A54612">
              <w:rPr>
                <w:rFonts w:ascii="Calibri" w:eastAsia="Calibri" w:hAnsi="Calibri" w:cs="Arial"/>
                <w:b/>
                <w:bCs/>
                <w:noProof/>
                <w:webHidden/>
                <w:lang w:val="en-US"/>
              </w:rPr>
              <w:instrText xml:space="preserve"> PAGEREF _Toc137323496 \h </w:instrText>
            </w:r>
            <w:r w:rsidR="00A54612" w:rsidRPr="00A54612">
              <w:rPr>
                <w:rFonts w:ascii="Calibri" w:eastAsia="Calibri" w:hAnsi="Calibri" w:cs="Arial"/>
                <w:b/>
                <w:bCs/>
                <w:noProof/>
                <w:webHidden/>
                <w:lang w:val="en-US"/>
              </w:rPr>
            </w:r>
            <w:r w:rsidR="00A54612" w:rsidRPr="00A54612">
              <w:rPr>
                <w:rFonts w:ascii="Calibri" w:eastAsia="Calibri" w:hAnsi="Calibri" w:cs="Arial"/>
                <w:b/>
                <w:bCs/>
                <w:noProof/>
                <w:webHidden/>
                <w:lang w:val="en-US"/>
              </w:rPr>
              <w:fldChar w:fldCharType="separate"/>
            </w:r>
            <w:r w:rsidR="00363717">
              <w:rPr>
                <w:rFonts w:ascii="Calibri" w:eastAsia="Calibri" w:hAnsi="Calibri" w:cs="Arial"/>
                <w:b/>
                <w:bCs/>
                <w:noProof/>
                <w:webHidden/>
                <w:lang w:val="en-US"/>
              </w:rPr>
              <w:t>21</w:t>
            </w:r>
            <w:r w:rsidR="00A54612" w:rsidRPr="00A54612">
              <w:rPr>
                <w:rFonts w:ascii="Calibri" w:eastAsia="Calibri" w:hAnsi="Calibri" w:cs="Arial"/>
                <w:b/>
                <w:bCs/>
                <w:noProof/>
                <w:webHidden/>
                <w:lang w:val="en-US"/>
              </w:rPr>
              <w:fldChar w:fldCharType="end"/>
            </w:r>
          </w:hyperlink>
        </w:p>
        <w:p w14:paraId="4705E995"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r w:rsidRPr="00A54612">
            <w:rPr>
              <w:rFonts w:eastAsia="Calibri"/>
              <w:b/>
              <w:bCs/>
              <w:noProof/>
              <w:lang w:val="en-US"/>
            </w:rPr>
            <w:fldChar w:fldCharType="end"/>
          </w:r>
        </w:p>
      </w:sdtContent>
    </w:sdt>
    <w:p w14:paraId="48DEE5DA"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2A24A52D"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5AE1860A"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18E00D8B"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66745427"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17CD4106"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38444963"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2EC03C5F"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1FD8E773" w14:textId="77777777" w:rsidR="00A54612" w:rsidRPr="00A54612" w:rsidRDefault="00A54612" w:rsidP="00A54612">
      <w:pPr>
        <w:widowControl/>
        <w:tabs>
          <w:tab w:val="clear" w:pos="1189"/>
        </w:tabs>
        <w:autoSpaceDE/>
        <w:autoSpaceDN/>
        <w:spacing w:after="120" w:line="240" w:lineRule="auto"/>
        <w:ind w:right="0"/>
        <w:jc w:val="left"/>
        <w:rPr>
          <w:rFonts w:eastAsia="Calibri"/>
          <w:b/>
          <w:bCs/>
          <w:sz w:val="28"/>
          <w:szCs w:val="28"/>
          <w:lang w:val="en-US"/>
        </w:rPr>
      </w:pPr>
      <w:r w:rsidRPr="00A54612">
        <w:rPr>
          <w:rFonts w:eastAsia="Calibri"/>
          <w:lang w:val="en-US"/>
        </w:rPr>
        <w:br w:type="page"/>
      </w:r>
    </w:p>
    <w:p w14:paraId="5F33DF92" w14:textId="77777777" w:rsidR="00A54612" w:rsidRPr="00A54612" w:rsidRDefault="00A54612" w:rsidP="00A54612">
      <w:pPr>
        <w:widowControl/>
        <w:tabs>
          <w:tab w:val="clear" w:pos="1189"/>
        </w:tabs>
        <w:autoSpaceDE/>
        <w:autoSpaceDN/>
        <w:spacing w:after="240" w:line="240" w:lineRule="auto"/>
        <w:ind w:right="0"/>
        <w:jc w:val="left"/>
        <w:rPr>
          <w:rFonts w:eastAsia="Calibri"/>
          <w:b/>
          <w:bCs/>
          <w:sz w:val="32"/>
          <w:szCs w:val="32"/>
          <w:lang w:val="en-US"/>
        </w:rPr>
      </w:pPr>
      <w:r w:rsidRPr="00A54612">
        <w:rPr>
          <w:rFonts w:eastAsia="Calibri"/>
          <w:b/>
          <w:bCs/>
          <w:sz w:val="32"/>
          <w:szCs w:val="32"/>
          <w:lang w:val="en-US"/>
        </w:rPr>
        <w:lastRenderedPageBreak/>
        <w:t xml:space="preserve">Definitions </w:t>
      </w:r>
    </w:p>
    <w:p w14:paraId="6414D81A"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t>
      </w:r>
      <w:proofErr w:type="gramStart"/>
      <w:r w:rsidRPr="00A54612">
        <w:rPr>
          <w:rFonts w:eastAsia="Calibri"/>
          <w:lang w:val="en-US"/>
        </w:rPr>
        <w:t>power</w:t>
      </w:r>
      <w:proofErr w:type="gramEnd"/>
      <w:r w:rsidRPr="00A54612">
        <w:rPr>
          <w:rFonts w:eastAsia="Calibri"/>
          <w:lang w:val="en-US"/>
        </w:rPr>
        <w:t>-generating module” or “PGM”: either a synchronous power-generating module or a power park module;</w:t>
      </w:r>
    </w:p>
    <w:p w14:paraId="0EB34526"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t>
      </w:r>
      <w:proofErr w:type="gramStart"/>
      <w:r w:rsidRPr="00A54612">
        <w:rPr>
          <w:rFonts w:eastAsia="Calibri"/>
          <w:lang w:val="en-US"/>
        </w:rPr>
        <w:t>main</w:t>
      </w:r>
      <w:proofErr w:type="gramEnd"/>
      <w:r w:rsidRPr="00A54612">
        <w:rPr>
          <w:rFonts w:eastAsia="Calibri"/>
          <w:lang w:val="en-US"/>
        </w:rPr>
        <w:t xml:space="preserve"> generating plant” means one or more of the principal items of equipment required to convert the primary source of energy into electricity;</w:t>
      </w:r>
    </w:p>
    <w:p w14:paraId="0E708545" w14:textId="77777777" w:rsidR="00A54612" w:rsidRPr="00A54612" w:rsidRDefault="00A54612" w:rsidP="00A54612">
      <w:pPr>
        <w:widowControl/>
        <w:tabs>
          <w:tab w:val="clear" w:pos="1189"/>
        </w:tabs>
        <w:autoSpaceDE/>
        <w:autoSpaceDN/>
        <w:spacing w:after="120" w:line="240" w:lineRule="auto"/>
        <w:ind w:right="0"/>
        <w:rPr>
          <w:rFonts w:eastAsia="Calibri"/>
          <w:lang w:val="en-GB"/>
        </w:rPr>
      </w:pPr>
      <w:r w:rsidRPr="00A54612">
        <w:rPr>
          <w:rFonts w:eastAsia="Calibri"/>
          <w:lang w:val="en-GB"/>
        </w:rPr>
        <w:t>“</w:t>
      </w:r>
      <w:proofErr w:type="gramStart"/>
      <w:r w:rsidRPr="00A54612">
        <w:rPr>
          <w:rFonts w:eastAsia="Calibri"/>
          <w:lang w:val="en-GB"/>
        </w:rPr>
        <w:t>generating</w:t>
      </w:r>
      <w:proofErr w:type="gramEnd"/>
      <w:r w:rsidRPr="00A54612">
        <w:rPr>
          <w:rFonts w:eastAsia="Calibri"/>
          <w:lang w:val="en-GB"/>
        </w:rPr>
        <w:t xml:space="preserve"> unit” or “GU”: the smallest entity of a PGM feeding in electrical power to the grid; this can be a directly coupled synchronous generator, a photovoltaic inverter, a double-fed asynchronous generator, a fully rated converter of a wind turbine or something similar;</w:t>
      </w:r>
    </w:p>
    <w:p w14:paraId="0DB55FF7"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t>
      </w:r>
      <w:proofErr w:type="gramStart"/>
      <w:r w:rsidRPr="00A54612">
        <w:rPr>
          <w:rFonts w:eastAsia="Calibri"/>
          <w:lang w:val="en-US"/>
        </w:rPr>
        <w:t>synchronous</w:t>
      </w:r>
      <w:proofErr w:type="gramEnd"/>
      <w:r w:rsidRPr="00A54612">
        <w:rPr>
          <w:rFonts w:eastAsia="Calibri"/>
          <w:lang w:val="en-US"/>
        </w:rPr>
        <w:t xml:space="preserve"> power-generating module” or “SPGM”: an indivisible set of installations which can generate electrical energy such that the frequency of the generated voltage, the generator speed and the frequency of network voltage are in a constant ratio and thus in synchronism;</w:t>
      </w:r>
    </w:p>
    <w:p w14:paraId="022F4D8B"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t>
      </w:r>
      <w:proofErr w:type="gramStart"/>
      <w:r w:rsidRPr="00A54612">
        <w:rPr>
          <w:rFonts w:eastAsia="Calibri"/>
          <w:lang w:val="en-US"/>
        </w:rPr>
        <w:t>power</w:t>
      </w:r>
      <w:proofErr w:type="gramEnd"/>
      <w:r w:rsidRPr="00A54612">
        <w:rPr>
          <w:rFonts w:eastAsia="Calibri"/>
          <w:lang w:val="en-US"/>
        </w:rPr>
        <w:t xml:space="preserve"> park module” or “PPM”: a unit or ensemble of units generating electricity, which is not a synchronous power-generating module and which is either non-synchronously connected to the network or connected through power electronics, and that also has a single connection point to a transmission system, distribution system including closed distribution system or HVDC system;</w:t>
      </w:r>
    </w:p>
    <w:p w14:paraId="6BBE738F" w14:textId="77777777" w:rsidR="00A54612" w:rsidRPr="00A54612" w:rsidRDefault="00A54612" w:rsidP="00A54612">
      <w:pPr>
        <w:widowControl/>
        <w:tabs>
          <w:tab w:val="clear" w:pos="1189"/>
        </w:tabs>
        <w:autoSpaceDE/>
        <w:autoSpaceDN/>
        <w:spacing w:after="120" w:line="240" w:lineRule="auto"/>
        <w:ind w:right="0"/>
        <w:rPr>
          <w:rFonts w:eastAsia="Calibri"/>
          <w:lang w:val="en-GB"/>
        </w:rPr>
      </w:pPr>
      <w:r w:rsidRPr="00A54612">
        <w:rPr>
          <w:rFonts w:eastAsia="Calibri"/>
          <w:lang w:val="en-US"/>
        </w:rPr>
        <w:t>“</w:t>
      </w:r>
      <w:proofErr w:type="gramStart"/>
      <w:r w:rsidRPr="00A54612">
        <w:rPr>
          <w:rFonts w:eastAsia="Calibri"/>
          <w:lang w:val="en-US"/>
        </w:rPr>
        <w:t>synchronous</w:t>
      </w:r>
      <w:proofErr w:type="gramEnd"/>
      <w:r w:rsidRPr="00A54612">
        <w:rPr>
          <w:rFonts w:eastAsia="Calibri"/>
          <w:lang w:val="en-US"/>
        </w:rPr>
        <w:t xml:space="preserve"> generating unit” or (SGU): an alternator along with the associated prime mover, speed and power control, voltage control, excitation control system including, if applicable, a power system stabilizer function;</w:t>
      </w:r>
    </w:p>
    <w:p w14:paraId="04641949"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t>
      </w:r>
      <w:proofErr w:type="gramStart"/>
      <w:r w:rsidRPr="00A54612">
        <w:rPr>
          <w:rFonts w:eastAsia="Calibri"/>
          <w:lang w:val="en-US"/>
        </w:rPr>
        <w:t>power</w:t>
      </w:r>
      <w:proofErr w:type="gramEnd"/>
      <w:r w:rsidRPr="00A54612">
        <w:rPr>
          <w:rFonts w:eastAsia="Calibri"/>
          <w:lang w:val="en-US"/>
        </w:rPr>
        <w:t xml:space="preserve"> park unit” or “PPU”: a generating unit in the context of a PPM;</w:t>
      </w:r>
    </w:p>
    <w:p w14:paraId="0F2AB1F5"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t>
      </w:r>
      <w:proofErr w:type="gramStart"/>
      <w:r w:rsidRPr="00A54612">
        <w:rPr>
          <w:rFonts w:eastAsia="Calibri"/>
          <w:lang w:val="en-US"/>
        </w:rPr>
        <w:t>connection</w:t>
      </w:r>
      <w:proofErr w:type="gramEnd"/>
      <w:r w:rsidRPr="00A54612">
        <w:rPr>
          <w:rFonts w:eastAsia="Calibri"/>
          <w:lang w:val="en-US"/>
        </w:rPr>
        <w:t xml:space="preserve"> point” or “CP”: the electrical interface at which the power-generating module, demand facility, distribution system or HVDC system is connected to a transmission system, offshore network, distribution system, including closed distribution systems, or HVDC system, as identified in the connection agreement;</w:t>
      </w:r>
    </w:p>
    <w:p w14:paraId="73F9AC76"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t>
      </w:r>
      <w:proofErr w:type="gramStart"/>
      <w:r w:rsidRPr="00A54612">
        <w:rPr>
          <w:rFonts w:eastAsia="Calibri"/>
          <w:lang w:val="en-US"/>
        </w:rPr>
        <w:t>maximum</w:t>
      </w:r>
      <w:proofErr w:type="gramEnd"/>
      <w:r w:rsidRPr="00A54612">
        <w:rPr>
          <w:rFonts w:eastAsia="Calibri"/>
          <w:lang w:val="en-US"/>
        </w:rPr>
        <w:t xml:space="preserve"> capacity” or “Pmax”: the maximum continuous active power which a power-generating module can produce, less any demand or losses associated solely with facilitating the operation of that power-generating module as specified in the connection agreement or as agreed between the relevant system operator and the power-generating facility owner; </w:t>
      </w:r>
    </w:p>
    <w:p w14:paraId="4C5A2E5E"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t>
      </w:r>
      <w:proofErr w:type="gramStart"/>
      <w:r w:rsidRPr="00A54612">
        <w:rPr>
          <w:rFonts w:eastAsia="Calibri"/>
          <w:lang w:val="en-US"/>
        </w:rPr>
        <w:t>minimum</w:t>
      </w:r>
      <w:proofErr w:type="gramEnd"/>
      <w:r w:rsidRPr="00A54612">
        <w:rPr>
          <w:rFonts w:eastAsia="Calibri"/>
          <w:lang w:val="en-US"/>
        </w:rPr>
        <w:t xml:space="preserve"> regulating level” or “</w:t>
      </w:r>
      <w:proofErr w:type="spellStart"/>
      <w:r w:rsidRPr="00A54612">
        <w:rPr>
          <w:rFonts w:eastAsia="Calibri"/>
          <w:lang w:val="en-US"/>
        </w:rPr>
        <w:t>Pmin</w:t>
      </w:r>
      <w:proofErr w:type="spellEnd"/>
      <w:r w:rsidRPr="00A54612">
        <w:rPr>
          <w:rFonts w:eastAsia="Calibri"/>
          <w:lang w:val="en-US"/>
        </w:rPr>
        <w:t>”: the minimum active power, as specified in the connection agreement or as agreed between the relevant system operator and the power-generating facility owner, down to which the power-generating module can control active power;</w:t>
      </w:r>
    </w:p>
    <w:p w14:paraId="3AB19D99"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GB"/>
        </w:rPr>
        <w:t>“</w:t>
      </w:r>
      <w:proofErr w:type="gramStart"/>
      <w:r w:rsidRPr="00A54612">
        <w:rPr>
          <w:rFonts w:eastAsia="Calibri"/>
          <w:szCs w:val="20"/>
          <w:lang w:val="en-GB"/>
        </w:rPr>
        <w:t>frequency</w:t>
      </w:r>
      <w:proofErr w:type="gramEnd"/>
      <w:r w:rsidRPr="00A54612">
        <w:rPr>
          <w:rFonts w:eastAsia="Calibri"/>
          <w:szCs w:val="20"/>
          <w:lang w:val="en-GB"/>
        </w:rPr>
        <w:t xml:space="preserve"> containment reserves” or “FCR”: the active power reserves available to contain system frequency after the occurrence of an imbalance;</w:t>
      </w:r>
    </w:p>
    <w:p w14:paraId="4AF7BB11"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GB"/>
        </w:rPr>
        <w:t>“</w:t>
      </w:r>
      <w:proofErr w:type="gramStart"/>
      <w:r w:rsidRPr="00A54612">
        <w:rPr>
          <w:rFonts w:eastAsia="Calibri"/>
          <w:szCs w:val="20"/>
          <w:lang w:val="en-GB"/>
        </w:rPr>
        <w:t>frequency</w:t>
      </w:r>
      <w:proofErr w:type="gramEnd"/>
      <w:r w:rsidRPr="00A54612">
        <w:rPr>
          <w:rFonts w:eastAsia="Calibri"/>
          <w:szCs w:val="20"/>
          <w:lang w:val="en-GB"/>
        </w:rPr>
        <w:t xml:space="preserve"> restoration reserves” or “FRR”: the active power reserves available to restore system frequency to the nominal frequency and, for a synchronous area consisting of more than one LFC area, to restore power balance to the scheduled value;</w:t>
      </w:r>
    </w:p>
    <w:p w14:paraId="1CD055C4"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GB"/>
        </w:rPr>
        <w:lastRenderedPageBreak/>
        <w:t>“</w:t>
      </w:r>
      <w:proofErr w:type="gramStart"/>
      <w:r w:rsidRPr="00A54612">
        <w:rPr>
          <w:rFonts w:eastAsia="Calibri"/>
          <w:szCs w:val="20"/>
          <w:lang w:val="en-GB"/>
        </w:rPr>
        <w:t>load</w:t>
      </w:r>
      <w:proofErr w:type="gramEnd"/>
      <w:r w:rsidRPr="00A54612">
        <w:rPr>
          <w:rFonts w:eastAsia="Calibri"/>
          <w:szCs w:val="20"/>
          <w:lang w:val="en-GB"/>
        </w:rPr>
        <w:t>-frequency control area” or “LFC area”: a part of a synchronous area or an entire synchronous area, physically demarcated by points of measurement at interconnectors to other LFC areas, operated by one or more TSOs fulfilling the obligations of load-frequency control;</w:t>
      </w:r>
    </w:p>
    <w:p w14:paraId="7F770AD4"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US"/>
        </w:rPr>
        <w:t>“</w:t>
      </w:r>
      <w:proofErr w:type="gramStart"/>
      <w:r w:rsidRPr="00A54612">
        <w:rPr>
          <w:rFonts w:eastAsia="Calibri"/>
          <w:szCs w:val="20"/>
          <w:lang w:val="en-US"/>
        </w:rPr>
        <w:t>observability</w:t>
      </w:r>
      <w:proofErr w:type="gramEnd"/>
      <w:r w:rsidRPr="00A54612">
        <w:rPr>
          <w:rFonts w:eastAsia="Calibri"/>
          <w:szCs w:val="20"/>
          <w:lang w:val="en-US"/>
        </w:rPr>
        <w:t xml:space="preserve"> area”: a TSO's own transmission system and the relevant parts of distribution systems and neighboring TSOs' transmission systems, on which the TSO implements real-time monitoring and modelling to maintain operational security in its control area including interconnectors;</w:t>
      </w:r>
    </w:p>
    <w:p w14:paraId="14E763ED"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t>
      </w:r>
      <w:proofErr w:type="gramStart"/>
      <w:r w:rsidRPr="00A54612">
        <w:rPr>
          <w:rFonts w:eastAsia="Calibri"/>
          <w:lang w:val="en-US"/>
        </w:rPr>
        <w:t>electricity</w:t>
      </w:r>
      <w:proofErr w:type="gramEnd"/>
      <w:r w:rsidRPr="00A54612">
        <w:rPr>
          <w:rFonts w:eastAsia="Calibri"/>
          <w:lang w:val="en-US"/>
        </w:rPr>
        <w:t xml:space="preserve"> storage”: the conversion of electrical energy into a form of energy which can be stored, the storing of that energy and the subsequent reconversion of that energy back into electrical energy;</w:t>
      </w:r>
    </w:p>
    <w:p w14:paraId="0BF126C9"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t>
      </w:r>
      <w:proofErr w:type="gramStart"/>
      <w:r w:rsidRPr="00A54612">
        <w:rPr>
          <w:rFonts w:eastAsia="Calibri"/>
          <w:lang w:val="en-US"/>
        </w:rPr>
        <w:t>electricity</w:t>
      </w:r>
      <w:proofErr w:type="gramEnd"/>
      <w:r w:rsidRPr="00A54612">
        <w:rPr>
          <w:rFonts w:eastAsia="Calibri"/>
          <w:lang w:val="en-US"/>
        </w:rPr>
        <w:t xml:space="preserve"> storage module” or “ESM”: a power generating module which can inject and consume active power to and from the network for electricity storage, excluding pump-storage power-generating modules;</w:t>
      </w:r>
    </w:p>
    <w:p w14:paraId="3D699C86"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r w:rsidRPr="00A54612">
        <w:rPr>
          <w:rFonts w:eastAsia="Calibri"/>
          <w:lang w:val="en-US"/>
        </w:rPr>
        <w:t>“</w:t>
      </w:r>
      <w:proofErr w:type="gramStart"/>
      <w:r w:rsidRPr="00A54612">
        <w:rPr>
          <w:rFonts w:eastAsia="Calibri"/>
          <w:lang w:val="en-US"/>
        </w:rPr>
        <w:t>electricity</w:t>
      </w:r>
      <w:proofErr w:type="gramEnd"/>
      <w:r w:rsidRPr="00A54612">
        <w:rPr>
          <w:rFonts w:eastAsia="Calibri"/>
          <w:lang w:val="en-US"/>
        </w:rPr>
        <w:t xml:space="preserve"> storage</w:t>
      </w:r>
      <w:r w:rsidRPr="00A54612">
        <w:rPr>
          <w:rFonts w:eastAsia="Calibri"/>
          <w:szCs w:val="20"/>
          <w:lang w:val="en-US"/>
        </w:rPr>
        <w:t xml:space="preserve"> unit” or </w:t>
      </w:r>
      <w:r w:rsidRPr="00A54612">
        <w:rPr>
          <w:rFonts w:eastAsia="Calibri"/>
          <w:lang w:val="en-US"/>
        </w:rPr>
        <w:t>“ESU”</w:t>
      </w:r>
      <w:r w:rsidRPr="00A54612">
        <w:rPr>
          <w:rFonts w:eastAsia="Calibri"/>
          <w:szCs w:val="20"/>
          <w:lang w:val="en-US"/>
        </w:rPr>
        <w:t>: a power generating unit in the context of an ESM;</w:t>
      </w:r>
    </w:p>
    <w:p w14:paraId="17A6A0AA"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t>
      </w:r>
      <w:proofErr w:type="gramStart"/>
      <w:r w:rsidRPr="00A54612">
        <w:rPr>
          <w:rFonts w:eastAsia="Calibri"/>
          <w:lang w:val="en-US"/>
        </w:rPr>
        <w:t>maximum</w:t>
      </w:r>
      <w:proofErr w:type="gramEnd"/>
      <w:r w:rsidRPr="00A54612">
        <w:rPr>
          <w:rFonts w:eastAsia="Calibri"/>
          <w:lang w:val="en-US"/>
        </w:rPr>
        <w:t xml:space="preserve"> consumption capacity”: the maximum continuous active power which an electricity storage module can consume, less any demand or losses associated solely with facilitating the operation of that electricity storage module, as specified in the connection agreement or as agreed between the relevant system operator and the power-generating facility owner;</w:t>
      </w:r>
    </w:p>
    <w:p w14:paraId="6E6E6762"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“State Of Charge” or “SOC”: the energy available, expressed in percentage (%) of the amount of the ESM nominal capacity, (0% = empty; 100% = full</w:t>
      </w:r>
      <w:proofErr w:type="gramStart"/>
      <w:r w:rsidRPr="00A54612">
        <w:rPr>
          <w:rFonts w:eastAsia="Calibri"/>
          <w:lang w:val="en-US"/>
        </w:rPr>
        <w:t>);</w:t>
      </w:r>
      <w:proofErr w:type="gramEnd"/>
      <w:r w:rsidRPr="00A54612">
        <w:rPr>
          <w:rFonts w:eastAsia="Calibri"/>
          <w:lang w:val="en-US"/>
        </w:rPr>
        <w:t xml:space="preserve">  </w:t>
      </w:r>
    </w:p>
    <w:p w14:paraId="1C80FB56"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“Maximum Charging Ramp Rate” or “</w:t>
      </w:r>
      <w:proofErr w:type="spellStart"/>
      <w:r w:rsidRPr="00A54612">
        <w:rPr>
          <w:rFonts w:eastAsia="Calibri"/>
          <w:lang w:val="en-US"/>
        </w:rPr>
        <w:t>Rch</w:t>
      </w:r>
      <w:proofErr w:type="spellEnd"/>
      <w:r w:rsidRPr="00A54612">
        <w:rPr>
          <w:rFonts w:eastAsia="Calibri"/>
          <w:lang w:val="en-US"/>
        </w:rPr>
        <w:t>”: the maximum limit on the rates of change of power that the ESM can achieve during charging, expressed in MW/</w:t>
      </w:r>
      <w:proofErr w:type="gramStart"/>
      <w:r w:rsidRPr="00A54612">
        <w:rPr>
          <w:rFonts w:eastAsia="Calibri"/>
          <w:lang w:val="en-US"/>
        </w:rPr>
        <w:t>min;</w:t>
      </w:r>
      <w:proofErr w:type="gramEnd"/>
    </w:p>
    <w:p w14:paraId="1B36D8E7"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“Maximum Discharging Ramp rate” or “</w:t>
      </w:r>
      <w:proofErr w:type="spellStart"/>
      <w:r w:rsidRPr="00A54612">
        <w:rPr>
          <w:rFonts w:eastAsia="Calibri"/>
          <w:lang w:val="en-US"/>
        </w:rPr>
        <w:t>Rdis</w:t>
      </w:r>
      <w:proofErr w:type="spellEnd"/>
      <w:r w:rsidRPr="00A54612">
        <w:rPr>
          <w:rFonts w:eastAsia="Calibri"/>
          <w:lang w:val="en-US"/>
        </w:rPr>
        <w:t>”: the maximum ramping that the ESM can achieve during discharging, expressed in MW/</w:t>
      </w:r>
      <w:proofErr w:type="gramStart"/>
      <w:r w:rsidRPr="00A54612">
        <w:rPr>
          <w:rFonts w:eastAsia="Calibri"/>
          <w:lang w:val="en-US"/>
        </w:rPr>
        <w:t>min;</w:t>
      </w:r>
      <w:proofErr w:type="gramEnd"/>
    </w:p>
    <w:p w14:paraId="222BD469"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“Independent Power Transmission Operator” or “IPTO”: the TSO of the Hellenic transmission </w:t>
      </w:r>
      <w:proofErr w:type="gramStart"/>
      <w:r w:rsidRPr="00A54612">
        <w:rPr>
          <w:rFonts w:eastAsia="Calibri"/>
          <w:lang w:val="en-US"/>
        </w:rPr>
        <w:t>system;</w:t>
      </w:r>
      <w:proofErr w:type="gramEnd"/>
    </w:p>
    <w:p w14:paraId="0680865B"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“Hellenic Electricity Distribution Network Operator” or “HEDNO”: the DSO of the Hellenic distribution system.</w:t>
      </w:r>
    </w:p>
    <w:p w14:paraId="0BAF0C1B" w14:textId="77777777" w:rsidR="00A54612" w:rsidRPr="00A54612" w:rsidRDefault="00A54612" w:rsidP="00A54612">
      <w:pPr>
        <w:widowControl/>
        <w:tabs>
          <w:tab w:val="clear" w:pos="1189"/>
        </w:tabs>
        <w:autoSpaceDE/>
        <w:autoSpaceDN/>
        <w:spacing w:after="120" w:line="240" w:lineRule="auto"/>
        <w:ind w:right="0"/>
        <w:rPr>
          <w:rFonts w:eastAsia="Calibri"/>
          <w:i/>
          <w:iCs/>
          <w:lang w:val="en-US"/>
        </w:rPr>
      </w:pPr>
    </w:p>
    <w:p w14:paraId="55702061" w14:textId="77777777" w:rsidR="00A54612" w:rsidRPr="00A54612" w:rsidRDefault="00A54612" w:rsidP="00A54612">
      <w:pPr>
        <w:widowControl/>
        <w:tabs>
          <w:tab w:val="clear" w:pos="1189"/>
        </w:tabs>
        <w:autoSpaceDE/>
        <w:autoSpaceDN/>
        <w:spacing w:after="120" w:line="240" w:lineRule="auto"/>
        <w:ind w:right="0"/>
        <w:rPr>
          <w:rFonts w:eastAsia="Calibri"/>
          <w:i/>
          <w:iCs/>
          <w:lang w:val="en-US"/>
        </w:rPr>
      </w:pPr>
    </w:p>
    <w:p w14:paraId="49970866" w14:textId="77777777" w:rsidR="00A54612" w:rsidRPr="00A54612" w:rsidRDefault="00A54612" w:rsidP="00A54612">
      <w:pPr>
        <w:widowControl/>
        <w:tabs>
          <w:tab w:val="clear" w:pos="1189"/>
        </w:tabs>
        <w:autoSpaceDE/>
        <w:autoSpaceDN/>
        <w:spacing w:after="120" w:line="240" w:lineRule="auto"/>
        <w:ind w:right="0"/>
        <w:rPr>
          <w:rFonts w:eastAsia="Calibri"/>
          <w:i/>
          <w:iCs/>
          <w:lang w:val="en-US"/>
        </w:rPr>
      </w:pPr>
    </w:p>
    <w:p w14:paraId="4229FEC1" w14:textId="77777777" w:rsidR="00A54612" w:rsidRPr="00A54612" w:rsidRDefault="00A54612" w:rsidP="00A54612">
      <w:pPr>
        <w:widowControl/>
        <w:tabs>
          <w:tab w:val="clear" w:pos="1189"/>
        </w:tabs>
        <w:autoSpaceDE/>
        <w:autoSpaceDN/>
        <w:spacing w:after="120" w:line="240" w:lineRule="auto"/>
        <w:ind w:right="0"/>
        <w:rPr>
          <w:rFonts w:eastAsia="Calibri"/>
          <w:i/>
          <w:iCs/>
          <w:lang w:val="en-US"/>
        </w:rPr>
      </w:pPr>
    </w:p>
    <w:p w14:paraId="601F19D0" w14:textId="77777777" w:rsidR="00A54612" w:rsidRPr="00A54612" w:rsidRDefault="00A54612" w:rsidP="00A54612">
      <w:pPr>
        <w:widowControl/>
        <w:tabs>
          <w:tab w:val="clear" w:pos="1189"/>
        </w:tabs>
        <w:autoSpaceDE/>
        <w:autoSpaceDN/>
        <w:spacing w:after="120" w:line="240" w:lineRule="auto"/>
        <w:ind w:right="0"/>
        <w:rPr>
          <w:rFonts w:eastAsia="Calibri"/>
          <w:i/>
          <w:iCs/>
          <w:lang w:val="en-US"/>
        </w:rPr>
      </w:pPr>
    </w:p>
    <w:p w14:paraId="242E2964" w14:textId="77777777" w:rsidR="00A54612" w:rsidRPr="00A54612" w:rsidRDefault="00A54612" w:rsidP="00A54612">
      <w:pPr>
        <w:widowControl/>
        <w:tabs>
          <w:tab w:val="clear" w:pos="1189"/>
        </w:tabs>
        <w:autoSpaceDE/>
        <w:autoSpaceDN/>
        <w:spacing w:after="120" w:line="240" w:lineRule="auto"/>
        <w:ind w:right="0"/>
        <w:jc w:val="left"/>
        <w:rPr>
          <w:rFonts w:eastAsia="Calibri"/>
          <w:b/>
          <w:bCs/>
          <w:sz w:val="32"/>
          <w:szCs w:val="32"/>
          <w:lang w:val="en-US"/>
        </w:rPr>
      </w:pPr>
    </w:p>
    <w:p w14:paraId="19F6993A" w14:textId="77777777" w:rsidR="00A54612" w:rsidRPr="00A54612" w:rsidRDefault="00A54612" w:rsidP="00A54612">
      <w:pPr>
        <w:widowControl/>
        <w:tabs>
          <w:tab w:val="clear" w:pos="1189"/>
        </w:tabs>
        <w:autoSpaceDE/>
        <w:autoSpaceDN/>
        <w:spacing w:after="120" w:line="240" w:lineRule="auto"/>
        <w:ind w:right="0"/>
        <w:jc w:val="left"/>
        <w:rPr>
          <w:rFonts w:eastAsia="Calibri"/>
          <w:b/>
          <w:bCs/>
          <w:sz w:val="32"/>
          <w:szCs w:val="32"/>
          <w:lang w:val="en-US"/>
        </w:rPr>
      </w:pPr>
    </w:p>
    <w:p w14:paraId="24610CE1" w14:textId="77777777" w:rsidR="00A54612" w:rsidRPr="00A54612" w:rsidRDefault="00A54612" w:rsidP="00A54612">
      <w:pPr>
        <w:widowControl/>
        <w:tabs>
          <w:tab w:val="clear" w:pos="1189"/>
        </w:tabs>
        <w:autoSpaceDE/>
        <w:autoSpaceDN/>
        <w:spacing w:after="240" w:line="240" w:lineRule="auto"/>
        <w:ind w:right="0"/>
        <w:jc w:val="left"/>
        <w:rPr>
          <w:rFonts w:eastAsia="Calibri"/>
          <w:b/>
          <w:bCs/>
          <w:sz w:val="32"/>
          <w:szCs w:val="32"/>
          <w:lang w:val="en-US"/>
        </w:rPr>
      </w:pPr>
      <w:r w:rsidRPr="00A54612">
        <w:rPr>
          <w:rFonts w:eastAsia="Calibri"/>
          <w:b/>
          <w:bCs/>
          <w:sz w:val="32"/>
          <w:szCs w:val="32"/>
          <w:lang w:val="en-US"/>
        </w:rPr>
        <w:lastRenderedPageBreak/>
        <w:t>Abbreviations</w:t>
      </w:r>
    </w:p>
    <w:p w14:paraId="3A37E02A"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CP</w:t>
      </w:r>
      <w:r w:rsidRPr="00A54612">
        <w:rPr>
          <w:rFonts w:eastAsia="Calibri"/>
          <w:lang w:val="en"/>
        </w:rPr>
        <w:tab/>
      </w:r>
      <w:r w:rsidRPr="00A54612">
        <w:rPr>
          <w:rFonts w:eastAsia="Calibri"/>
          <w:lang w:val="en"/>
        </w:rPr>
        <w:tab/>
        <w:t>connection point</w:t>
      </w:r>
    </w:p>
    <w:p w14:paraId="0C9F8F97"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GB"/>
        </w:rPr>
        <w:t>GU</w:t>
      </w:r>
      <w:r w:rsidRPr="00A54612">
        <w:rPr>
          <w:rFonts w:eastAsia="Calibri"/>
          <w:lang w:val="en"/>
        </w:rPr>
        <w:tab/>
      </w:r>
      <w:r w:rsidRPr="00A54612">
        <w:rPr>
          <w:rFonts w:eastAsia="Calibri"/>
          <w:lang w:val="en"/>
        </w:rPr>
        <w:tab/>
        <w:t xml:space="preserve">generating </w:t>
      </w:r>
      <w:proofErr w:type="gramStart"/>
      <w:r w:rsidRPr="00A54612">
        <w:rPr>
          <w:rFonts w:eastAsia="Calibri"/>
          <w:lang w:val="en"/>
        </w:rPr>
        <w:t>unit</w:t>
      </w:r>
      <w:proofErr w:type="gramEnd"/>
    </w:p>
    <w:p w14:paraId="60544FA6" w14:textId="77777777" w:rsidR="00A54612" w:rsidRPr="00A54612" w:rsidRDefault="00A54612" w:rsidP="00A54612">
      <w:pPr>
        <w:widowControl/>
        <w:tabs>
          <w:tab w:val="clear" w:pos="1189"/>
        </w:tabs>
        <w:autoSpaceDE/>
        <w:autoSpaceDN/>
        <w:spacing w:after="120" w:line="240" w:lineRule="auto"/>
        <w:ind w:right="0"/>
        <w:rPr>
          <w:rFonts w:eastAsia="Calibri"/>
          <w:lang w:val="de-DE"/>
        </w:rPr>
      </w:pPr>
      <w:r w:rsidRPr="00A54612">
        <w:rPr>
          <w:rFonts w:eastAsia="Calibri"/>
          <w:lang w:val="de-DE"/>
        </w:rPr>
        <w:t>HV</w:t>
      </w:r>
      <w:r w:rsidRPr="00A54612">
        <w:rPr>
          <w:rFonts w:eastAsia="Calibri"/>
          <w:lang w:val="de-DE"/>
        </w:rPr>
        <w:tab/>
      </w:r>
      <w:r w:rsidRPr="00A54612">
        <w:rPr>
          <w:rFonts w:eastAsia="Calibri"/>
          <w:lang w:val="de-DE"/>
        </w:rPr>
        <w:tab/>
        <w:t xml:space="preserve">high </w:t>
      </w:r>
      <w:proofErr w:type="spellStart"/>
      <w:r w:rsidRPr="00A54612">
        <w:rPr>
          <w:rFonts w:eastAsia="Calibri"/>
          <w:lang w:val="de-DE"/>
        </w:rPr>
        <w:t>voltage</w:t>
      </w:r>
      <w:proofErr w:type="spellEnd"/>
    </w:p>
    <w:p w14:paraId="1D806B33" w14:textId="77777777" w:rsidR="00A54612" w:rsidRPr="00A54612" w:rsidRDefault="00A54612" w:rsidP="00A54612">
      <w:pPr>
        <w:widowControl/>
        <w:tabs>
          <w:tab w:val="clear" w:pos="1189"/>
        </w:tabs>
        <w:autoSpaceDE/>
        <w:autoSpaceDN/>
        <w:spacing w:after="120" w:line="240" w:lineRule="auto"/>
        <w:ind w:right="0"/>
        <w:rPr>
          <w:rFonts w:eastAsia="Calibri"/>
          <w:lang w:val="de-DE"/>
        </w:rPr>
      </w:pPr>
      <w:r w:rsidRPr="00A54612">
        <w:rPr>
          <w:rFonts w:eastAsia="Calibri"/>
          <w:lang w:val="de-DE"/>
        </w:rPr>
        <w:t>min</w:t>
      </w:r>
      <w:r w:rsidRPr="00A54612">
        <w:rPr>
          <w:rFonts w:eastAsia="Calibri"/>
          <w:lang w:val="de-DE"/>
        </w:rPr>
        <w:tab/>
      </w:r>
      <w:r w:rsidRPr="00A54612">
        <w:rPr>
          <w:rFonts w:eastAsia="Calibri"/>
          <w:lang w:val="de-DE"/>
        </w:rPr>
        <w:tab/>
      </w:r>
      <w:proofErr w:type="spellStart"/>
      <w:r w:rsidRPr="00A54612">
        <w:rPr>
          <w:rFonts w:eastAsia="Calibri"/>
          <w:lang w:val="de-DE"/>
        </w:rPr>
        <w:t>minutes</w:t>
      </w:r>
      <w:proofErr w:type="spellEnd"/>
    </w:p>
    <w:p w14:paraId="629D3979" w14:textId="77777777" w:rsidR="00A54612" w:rsidRPr="00A54612" w:rsidRDefault="00A54612" w:rsidP="00A54612">
      <w:pPr>
        <w:widowControl/>
        <w:tabs>
          <w:tab w:val="clear" w:pos="1189"/>
        </w:tabs>
        <w:autoSpaceDE/>
        <w:autoSpaceDN/>
        <w:spacing w:after="120" w:line="240" w:lineRule="auto"/>
        <w:ind w:right="0"/>
        <w:rPr>
          <w:rFonts w:eastAsia="Calibri"/>
          <w:lang w:val="de-DE"/>
        </w:rPr>
      </w:pPr>
      <w:r w:rsidRPr="00A54612">
        <w:rPr>
          <w:rFonts w:eastAsia="Calibri"/>
          <w:lang w:val="de-DE"/>
        </w:rPr>
        <w:t>MV</w:t>
      </w:r>
      <w:r w:rsidRPr="00A54612">
        <w:rPr>
          <w:rFonts w:eastAsia="Calibri"/>
          <w:lang w:val="de-DE"/>
        </w:rPr>
        <w:tab/>
      </w:r>
      <w:r w:rsidRPr="00A54612">
        <w:rPr>
          <w:rFonts w:eastAsia="Calibri"/>
          <w:lang w:val="de-DE"/>
        </w:rPr>
        <w:tab/>
        <w:t xml:space="preserve">medium </w:t>
      </w:r>
      <w:proofErr w:type="spellStart"/>
      <w:r w:rsidRPr="00A54612">
        <w:rPr>
          <w:rFonts w:eastAsia="Calibri"/>
          <w:lang w:val="de-DE"/>
        </w:rPr>
        <w:t>voltage</w:t>
      </w:r>
      <w:proofErr w:type="spellEnd"/>
    </w:p>
    <w:p w14:paraId="44B2CEC4"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NDC</w:t>
      </w:r>
      <w:r w:rsidRPr="00A54612">
        <w:rPr>
          <w:rFonts w:eastAsia="Calibri"/>
          <w:lang w:val="en"/>
        </w:rPr>
        <w:tab/>
      </w:r>
      <w:r w:rsidRPr="00A54612">
        <w:rPr>
          <w:rFonts w:eastAsia="Calibri"/>
          <w:lang w:val="en"/>
        </w:rPr>
        <w:tab/>
        <w:t>national or regional dispatch center</w:t>
      </w:r>
    </w:p>
    <w:p w14:paraId="1AB3200E"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HETS</w:t>
      </w:r>
      <w:r w:rsidRPr="00A54612">
        <w:rPr>
          <w:rFonts w:eastAsia="Calibri"/>
          <w:lang w:val="en"/>
        </w:rPr>
        <w:tab/>
      </w:r>
      <w:r w:rsidRPr="00A54612">
        <w:rPr>
          <w:rFonts w:eastAsia="Calibri"/>
          <w:lang w:val="en"/>
        </w:rPr>
        <w:tab/>
        <w:t>Hellenic electricity transmission system</w:t>
      </w:r>
    </w:p>
    <w:p w14:paraId="64E16D4F"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PGF</w:t>
      </w:r>
      <w:r w:rsidRPr="00A54612">
        <w:rPr>
          <w:rFonts w:eastAsia="Calibri"/>
          <w:lang w:val="en"/>
        </w:rPr>
        <w:tab/>
      </w:r>
      <w:r w:rsidRPr="00A54612">
        <w:rPr>
          <w:rFonts w:eastAsia="Calibri"/>
          <w:lang w:val="en"/>
        </w:rPr>
        <w:tab/>
        <w:t>power-generating facility</w:t>
      </w:r>
    </w:p>
    <w:p w14:paraId="372B60B1"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PGFO</w:t>
      </w:r>
      <w:r w:rsidRPr="00A54612">
        <w:rPr>
          <w:rFonts w:eastAsia="Calibri"/>
          <w:lang w:val="en"/>
        </w:rPr>
        <w:tab/>
      </w:r>
      <w:r w:rsidRPr="00A54612">
        <w:rPr>
          <w:rFonts w:eastAsia="Calibri"/>
          <w:lang w:val="en"/>
        </w:rPr>
        <w:tab/>
        <w:t>power-generating facility owner</w:t>
      </w:r>
    </w:p>
    <w:p w14:paraId="16293CD9"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PGM</w:t>
      </w:r>
      <w:r w:rsidRPr="00A54612">
        <w:rPr>
          <w:rFonts w:eastAsia="Calibri"/>
          <w:lang w:val="en"/>
        </w:rPr>
        <w:tab/>
      </w:r>
      <w:r w:rsidRPr="00A54612">
        <w:rPr>
          <w:rFonts w:eastAsia="Calibri"/>
          <w:lang w:val="en"/>
        </w:rPr>
        <w:tab/>
        <w:t>power-generating module</w:t>
      </w:r>
    </w:p>
    <w:p w14:paraId="470FFC71" w14:textId="77777777" w:rsidR="00A54612" w:rsidRPr="00A54612" w:rsidRDefault="00A54612" w:rsidP="00A54612">
      <w:pPr>
        <w:widowControl/>
        <w:tabs>
          <w:tab w:val="clear" w:pos="1189"/>
        </w:tabs>
        <w:autoSpaceDE/>
        <w:autoSpaceDN/>
        <w:spacing w:after="120" w:line="240" w:lineRule="auto"/>
        <w:ind w:right="0"/>
        <w:rPr>
          <w:rFonts w:eastAsia="Calibri"/>
          <w:lang w:val="en-GB"/>
        </w:rPr>
      </w:pPr>
      <w:r w:rsidRPr="00A54612">
        <w:rPr>
          <w:rFonts w:eastAsia="Calibri"/>
          <w:lang w:val="en"/>
        </w:rPr>
        <w:t>P</w:t>
      </w:r>
      <w:r w:rsidRPr="00A54612">
        <w:rPr>
          <w:rFonts w:eastAsia="Calibri"/>
          <w:vertAlign w:val="subscript"/>
          <w:lang w:val="en"/>
        </w:rPr>
        <w:t>max</w:t>
      </w:r>
      <w:r w:rsidRPr="00A54612">
        <w:rPr>
          <w:rFonts w:eastAsia="Calibri"/>
          <w:lang w:val="en"/>
        </w:rPr>
        <w:tab/>
      </w:r>
      <w:r w:rsidRPr="00A54612">
        <w:rPr>
          <w:rFonts w:eastAsia="Calibri"/>
          <w:lang w:val="en"/>
        </w:rPr>
        <w:tab/>
      </w:r>
      <w:r w:rsidRPr="00A54612">
        <w:rPr>
          <w:rFonts w:eastAsia="Calibri"/>
          <w:lang w:val="en-GB"/>
        </w:rPr>
        <w:t>maximum continuous active power of a PGM</w:t>
      </w:r>
    </w:p>
    <w:p w14:paraId="4B5449F3" w14:textId="77777777" w:rsidR="00A54612" w:rsidRPr="00A54612" w:rsidRDefault="00A54612" w:rsidP="00A54612">
      <w:pPr>
        <w:widowControl/>
        <w:tabs>
          <w:tab w:val="clear" w:pos="1189"/>
        </w:tabs>
        <w:autoSpaceDE/>
        <w:autoSpaceDN/>
        <w:spacing w:after="120" w:line="240" w:lineRule="auto"/>
        <w:ind w:right="0"/>
        <w:rPr>
          <w:rFonts w:eastAsia="Calibri"/>
          <w:lang w:val="en"/>
        </w:rPr>
      </w:pPr>
      <w:bookmarkStart w:id="25" w:name="_Hlk125711841"/>
      <w:proofErr w:type="spellStart"/>
      <w:r w:rsidRPr="00A54612">
        <w:rPr>
          <w:rFonts w:eastAsia="Calibri"/>
          <w:lang w:val="en"/>
        </w:rPr>
        <w:t>P</w:t>
      </w:r>
      <w:r w:rsidRPr="00A54612">
        <w:rPr>
          <w:rFonts w:eastAsia="Calibri"/>
          <w:vertAlign w:val="subscript"/>
          <w:lang w:val="en"/>
        </w:rPr>
        <w:t>min</w:t>
      </w:r>
      <w:proofErr w:type="spellEnd"/>
      <w:r w:rsidRPr="00A54612">
        <w:rPr>
          <w:rFonts w:eastAsia="Calibri"/>
          <w:lang w:val="en"/>
        </w:rPr>
        <w:tab/>
      </w:r>
      <w:r w:rsidRPr="00A54612">
        <w:rPr>
          <w:rFonts w:eastAsia="Calibri"/>
          <w:lang w:val="en"/>
        </w:rPr>
        <w:tab/>
        <w:t xml:space="preserve">minimum active power regulating level </w:t>
      </w:r>
      <w:r w:rsidRPr="00A54612">
        <w:rPr>
          <w:rFonts w:eastAsia="Calibri"/>
          <w:lang w:val="en-GB"/>
        </w:rPr>
        <w:t>of a PGM</w:t>
      </w:r>
    </w:p>
    <w:bookmarkEnd w:id="25"/>
    <w:p w14:paraId="7BA5D361"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PPM</w:t>
      </w:r>
      <w:r w:rsidRPr="00A54612">
        <w:rPr>
          <w:rFonts w:eastAsia="Calibri"/>
          <w:lang w:val="en"/>
        </w:rPr>
        <w:tab/>
      </w:r>
      <w:r w:rsidRPr="00A54612">
        <w:rPr>
          <w:rFonts w:eastAsia="Calibri"/>
          <w:lang w:val="en"/>
        </w:rPr>
        <w:tab/>
        <w:t>power park module</w:t>
      </w:r>
    </w:p>
    <w:p w14:paraId="23AB23DB"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PPU</w:t>
      </w:r>
      <w:r w:rsidRPr="00A54612">
        <w:rPr>
          <w:rFonts w:eastAsia="Calibri"/>
          <w:lang w:val="en"/>
        </w:rPr>
        <w:tab/>
      </w:r>
      <w:r w:rsidRPr="00A54612">
        <w:rPr>
          <w:rFonts w:eastAsia="Calibri"/>
          <w:lang w:val="en"/>
        </w:rPr>
        <w:tab/>
        <w:t>power park unit</w:t>
      </w:r>
    </w:p>
    <w:p w14:paraId="778B4685"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SGU</w:t>
      </w:r>
      <w:r w:rsidRPr="00A54612">
        <w:rPr>
          <w:rFonts w:eastAsia="Calibri"/>
          <w:lang w:val="en"/>
        </w:rPr>
        <w:tab/>
      </w:r>
      <w:r w:rsidRPr="00A54612">
        <w:rPr>
          <w:rFonts w:eastAsia="Calibri"/>
          <w:lang w:val="en"/>
        </w:rPr>
        <w:tab/>
        <w:t>synchronous generating unit</w:t>
      </w:r>
    </w:p>
    <w:p w14:paraId="351D64D6"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SPGM</w:t>
      </w:r>
      <w:r w:rsidRPr="00A54612">
        <w:rPr>
          <w:rFonts w:eastAsia="Calibri"/>
          <w:lang w:val="en"/>
        </w:rPr>
        <w:tab/>
      </w:r>
      <w:r w:rsidRPr="00A54612">
        <w:rPr>
          <w:rFonts w:eastAsia="Calibri"/>
          <w:lang w:val="en"/>
        </w:rPr>
        <w:tab/>
        <w:t>synchronous power-generating module</w:t>
      </w:r>
    </w:p>
    <w:p w14:paraId="43B23DC8"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PPC</w:t>
      </w:r>
      <w:r w:rsidRPr="00A54612">
        <w:rPr>
          <w:rFonts w:eastAsia="Calibri"/>
          <w:lang w:val="en"/>
        </w:rPr>
        <w:tab/>
      </w:r>
      <w:r w:rsidRPr="00A54612">
        <w:rPr>
          <w:rFonts w:eastAsia="Calibri"/>
          <w:lang w:val="en"/>
        </w:rPr>
        <w:tab/>
        <w:t xml:space="preserve">power plant controller </w:t>
      </w:r>
    </w:p>
    <w:p w14:paraId="27F90BE8"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ESM</w:t>
      </w:r>
      <w:r w:rsidRPr="00A54612">
        <w:rPr>
          <w:rFonts w:eastAsia="Calibri"/>
          <w:lang w:val="en"/>
        </w:rPr>
        <w:tab/>
      </w:r>
      <w:r w:rsidRPr="00A54612">
        <w:rPr>
          <w:rFonts w:eastAsia="Calibri"/>
          <w:lang w:val="en"/>
        </w:rPr>
        <w:tab/>
        <w:t>electricity storage module</w:t>
      </w:r>
    </w:p>
    <w:p w14:paraId="184A8C7D"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ESU</w:t>
      </w:r>
      <w:r w:rsidRPr="00A54612">
        <w:rPr>
          <w:rFonts w:eastAsia="Calibri"/>
          <w:lang w:val="en"/>
        </w:rPr>
        <w:tab/>
      </w:r>
      <w:r w:rsidRPr="00A54612">
        <w:rPr>
          <w:rFonts w:eastAsia="Calibri"/>
          <w:lang w:val="en"/>
        </w:rPr>
        <w:tab/>
        <w:t>electricity storage unit</w:t>
      </w:r>
    </w:p>
    <w:p w14:paraId="7EFC5CA4"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FCR</w:t>
      </w:r>
      <w:r w:rsidRPr="00A54612">
        <w:rPr>
          <w:rFonts w:eastAsia="Calibri"/>
          <w:lang w:val="en"/>
        </w:rPr>
        <w:tab/>
      </w:r>
      <w:r w:rsidRPr="00A54612">
        <w:rPr>
          <w:rFonts w:eastAsia="Calibri"/>
          <w:lang w:val="en"/>
        </w:rPr>
        <w:tab/>
        <w:t>Frequency Containment Reserve</w:t>
      </w:r>
    </w:p>
    <w:p w14:paraId="327AF97D"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FRR</w:t>
      </w:r>
      <w:r w:rsidRPr="00A54612">
        <w:rPr>
          <w:rFonts w:eastAsia="Calibri"/>
          <w:lang w:val="en"/>
        </w:rPr>
        <w:tab/>
      </w:r>
      <w:r w:rsidRPr="00A54612">
        <w:rPr>
          <w:rFonts w:eastAsia="Calibri"/>
          <w:lang w:val="en"/>
        </w:rPr>
        <w:tab/>
        <w:t>Frequency Restoration Reserve</w:t>
      </w:r>
    </w:p>
    <w:p w14:paraId="32C1F844"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RAE</w:t>
      </w:r>
      <w:r w:rsidRPr="00A54612">
        <w:rPr>
          <w:rFonts w:eastAsia="Calibri"/>
          <w:lang w:val="en"/>
        </w:rPr>
        <w:tab/>
      </w:r>
      <w:r w:rsidRPr="00A54612">
        <w:rPr>
          <w:rFonts w:eastAsia="Calibri"/>
          <w:lang w:val="en"/>
        </w:rPr>
        <w:tab/>
        <w:t>Regulatory Authority of Energy</w:t>
      </w:r>
    </w:p>
    <w:p w14:paraId="565E29F6"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IPTO</w:t>
      </w:r>
      <w:r w:rsidRPr="00A54612">
        <w:rPr>
          <w:rFonts w:eastAsia="Calibri"/>
          <w:lang w:val="en"/>
        </w:rPr>
        <w:tab/>
      </w:r>
      <w:r w:rsidRPr="00A54612">
        <w:rPr>
          <w:rFonts w:eastAsia="Calibri"/>
          <w:lang w:val="en"/>
        </w:rPr>
        <w:tab/>
        <w:t>Independent Power Transmission Operator (the Greek TSO)</w:t>
      </w:r>
    </w:p>
    <w:p w14:paraId="757C935D" w14:textId="77777777" w:rsidR="00A54612" w:rsidRPr="00A54612" w:rsidRDefault="00A54612" w:rsidP="00A54612">
      <w:pPr>
        <w:widowControl/>
        <w:tabs>
          <w:tab w:val="clear" w:pos="1189"/>
        </w:tabs>
        <w:autoSpaceDE/>
        <w:autoSpaceDN/>
        <w:spacing w:after="120" w:line="240" w:lineRule="auto"/>
        <w:ind w:right="0"/>
        <w:rPr>
          <w:rFonts w:eastAsia="Calibri"/>
          <w:lang w:val="en"/>
        </w:rPr>
      </w:pPr>
    </w:p>
    <w:p w14:paraId="472E3E30" w14:textId="77777777" w:rsidR="00A54612" w:rsidRPr="00A54612" w:rsidRDefault="00A54612" w:rsidP="00A54612">
      <w:pPr>
        <w:widowControl/>
        <w:tabs>
          <w:tab w:val="clear" w:pos="1189"/>
        </w:tabs>
        <w:autoSpaceDE/>
        <w:autoSpaceDN/>
        <w:spacing w:after="120" w:line="240" w:lineRule="auto"/>
        <w:ind w:right="0"/>
        <w:rPr>
          <w:rFonts w:eastAsia="Calibri"/>
          <w:lang w:val="en"/>
        </w:rPr>
      </w:pPr>
    </w:p>
    <w:p w14:paraId="54148463" w14:textId="77777777" w:rsidR="00A54612" w:rsidRPr="00A54612" w:rsidRDefault="00A54612" w:rsidP="00A54612">
      <w:pPr>
        <w:widowControl/>
        <w:tabs>
          <w:tab w:val="clear" w:pos="1189"/>
        </w:tabs>
        <w:autoSpaceDE/>
        <w:autoSpaceDN/>
        <w:spacing w:after="120" w:line="240" w:lineRule="auto"/>
        <w:ind w:right="0"/>
        <w:rPr>
          <w:rFonts w:eastAsia="Calibri"/>
          <w:lang w:val="en"/>
        </w:rPr>
        <w:sectPr w:rsidR="00A54612" w:rsidRPr="00A54612" w:rsidSect="00C72D5D">
          <w:headerReference w:type="default" r:id="rId33"/>
          <w:footerReference w:type="default" r:id="rId34"/>
          <w:pgSz w:w="12240" w:h="15840"/>
          <w:pgMar w:top="1871" w:right="1797" w:bottom="1440" w:left="1797" w:header="720" w:footer="720" w:gutter="0"/>
          <w:pgNumType w:start="75"/>
          <w:cols w:space="720"/>
          <w:docGrid w:linePitch="360"/>
        </w:sectPr>
      </w:pPr>
    </w:p>
    <w:p w14:paraId="3227B8B6"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38E5E36D" w14:textId="1CF13313" w:rsidR="00A54612" w:rsidRPr="00A54612" w:rsidRDefault="00A54612" w:rsidP="00A54612">
      <w:pPr>
        <w:keepNext/>
        <w:keepLines/>
        <w:widowControl/>
        <w:tabs>
          <w:tab w:val="clear" w:pos="1189"/>
        </w:tabs>
        <w:autoSpaceDE/>
        <w:autoSpaceDN/>
        <w:spacing w:before="240" w:after="240" w:line="240" w:lineRule="auto"/>
        <w:ind w:left="567" w:right="0" w:hanging="567"/>
        <w:jc w:val="left"/>
        <w:outlineLvl w:val="0"/>
        <w:rPr>
          <w:b/>
          <w:sz w:val="32"/>
          <w:szCs w:val="32"/>
          <w:lang w:val="en-US"/>
        </w:rPr>
      </w:pPr>
      <w:bookmarkStart w:id="26" w:name="_Ref127457212"/>
      <w:r w:rsidRPr="00A54612">
        <w:rPr>
          <w:b/>
          <w:sz w:val="32"/>
          <w:szCs w:val="32"/>
          <w:lang w:val="en-US"/>
        </w:rPr>
        <w:t xml:space="preserve">1. </w:t>
      </w:r>
      <w:bookmarkStart w:id="27" w:name="_Toc137323478"/>
      <w:r w:rsidRPr="00A54612">
        <w:rPr>
          <w:b/>
          <w:sz w:val="32"/>
          <w:szCs w:val="32"/>
          <w:lang w:val="en-US"/>
        </w:rPr>
        <w:t>Scope</w:t>
      </w:r>
      <w:bookmarkEnd w:id="27"/>
    </w:p>
    <w:p w14:paraId="6652A71C"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This document specifies the technical requirements for the connection of Electricity Storage Modules (ESM) to the Hellenic Electricity Transmission System (HETS). The Transmission System Code in conjunction with all the technical Standards (ELOT, IEC, ISO </w:t>
      </w:r>
      <w:proofErr w:type="spellStart"/>
      <w:r w:rsidRPr="00A54612">
        <w:rPr>
          <w:rFonts w:eastAsia="Calibri"/>
          <w:lang w:val="en-US"/>
        </w:rPr>
        <w:t>etc</w:t>
      </w:r>
      <w:proofErr w:type="spellEnd"/>
      <w:r w:rsidRPr="00A54612">
        <w:rPr>
          <w:rFonts w:eastAsia="Calibri"/>
          <w:lang w:val="en-US"/>
        </w:rPr>
        <w:t>) that are legally adopted in Greece are in effect.</w:t>
      </w:r>
    </w:p>
    <w:p w14:paraId="0BE1C733" w14:textId="499F0C41" w:rsidR="00A54612" w:rsidRPr="00A54612" w:rsidRDefault="00A54612" w:rsidP="00A54612">
      <w:pPr>
        <w:keepNext/>
        <w:keepLines/>
        <w:widowControl/>
        <w:tabs>
          <w:tab w:val="clear" w:pos="1189"/>
        </w:tabs>
        <w:autoSpaceDE/>
        <w:autoSpaceDN/>
        <w:spacing w:before="240" w:after="240" w:line="240" w:lineRule="auto"/>
        <w:ind w:left="567" w:right="0" w:hanging="567"/>
        <w:jc w:val="left"/>
        <w:outlineLvl w:val="0"/>
        <w:rPr>
          <w:b/>
          <w:sz w:val="32"/>
          <w:szCs w:val="32"/>
          <w:lang w:val="en-US"/>
        </w:rPr>
      </w:pPr>
      <w:bookmarkStart w:id="28" w:name="_Toc137323479"/>
      <w:r w:rsidRPr="007A3E7A">
        <w:rPr>
          <w:b/>
          <w:sz w:val="32"/>
          <w:szCs w:val="32"/>
          <w:lang w:val="en-US"/>
        </w:rPr>
        <w:t xml:space="preserve">2. </w:t>
      </w:r>
      <w:r w:rsidRPr="00A54612">
        <w:rPr>
          <w:b/>
          <w:sz w:val="32"/>
          <w:szCs w:val="32"/>
          <w:lang w:val="en-US"/>
        </w:rPr>
        <w:t>ESM operating ranges</w:t>
      </w:r>
      <w:bookmarkEnd w:id="26"/>
      <w:bookmarkEnd w:id="28"/>
      <w:r w:rsidRPr="00A54612">
        <w:rPr>
          <w:b/>
          <w:sz w:val="32"/>
          <w:szCs w:val="32"/>
          <w:lang w:val="en-US"/>
        </w:rPr>
        <w:t xml:space="preserve">  </w:t>
      </w:r>
    </w:p>
    <w:p w14:paraId="6FA3A3D3" w14:textId="2DE1E500" w:rsidR="00A54612" w:rsidRPr="00A54612" w:rsidRDefault="00A54612" w:rsidP="00A54612">
      <w:pPr>
        <w:keepNext/>
        <w:keepLines/>
        <w:widowControl/>
        <w:numPr>
          <w:ilvl w:val="1"/>
          <w:numId w:val="0"/>
        </w:numPr>
        <w:tabs>
          <w:tab w:val="clear" w:pos="1189"/>
        </w:tabs>
        <w:autoSpaceDE/>
        <w:autoSpaceDN/>
        <w:spacing w:before="360" w:after="360" w:line="240" w:lineRule="auto"/>
        <w:ind w:left="578" w:right="0" w:hanging="578"/>
        <w:jc w:val="left"/>
        <w:outlineLvl w:val="1"/>
        <w:rPr>
          <w:b/>
          <w:sz w:val="28"/>
          <w:szCs w:val="28"/>
          <w:lang w:val="en-US"/>
        </w:rPr>
      </w:pPr>
      <w:bookmarkStart w:id="29" w:name="_Ref127348841"/>
      <w:bookmarkStart w:id="30" w:name="_Toc137323480"/>
      <w:r w:rsidRPr="007A3E7A">
        <w:rPr>
          <w:b/>
          <w:sz w:val="28"/>
          <w:szCs w:val="28"/>
          <w:lang w:val="en-US"/>
        </w:rPr>
        <w:t xml:space="preserve">2.1 </w:t>
      </w:r>
      <w:r w:rsidRPr="00A54612">
        <w:rPr>
          <w:b/>
          <w:sz w:val="28"/>
          <w:szCs w:val="28"/>
          <w:lang w:val="en-US"/>
        </w:rPr>
        <w:t>Frequency operating ranges</w:t>
      </w:r>
      <w:bookmarkEnd w:id="29"/>
      <w:bookmarkEnd w:id="30"/>
    </w:p>
    <w:p w14:paraId="73D0CD9C" w14:textId="6FD33770"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All ESMs connected to the HETS shall be capable of staying connected and operate stably for system frequency values within the ranges and for the minimum operating times specified in </w:t>
      </w:r>
      <w:r w:rsidRPr="00A54612">
        <w:rPr>
          <w:rFonts w:eastAsia="Calibri"/>
          <w:lang w:val="en-US"/>
        </w:rPr>
        <w:fldChar w:fldCharType="begin"/>
      </w:r>
      <w:r w:rsidRPr="00A54612">
        <w:rPr>
          <w:rFonts w:eastAsia="Calibri"/>
          <w:lang w:val="en-US"/>
        </w:rPr>
        <w:instrText xml:space="preserve"> REF _Ref124252152 \h  \* MERGEFORMAT </w:instrText>
      </w:r>
      <w:r w:rsidRPr="00A54612">
        <w:rPr>
          <w:rFonts w:eastAsia="Calibri"/>
          <w:lang w:val="en-US"/>
        </w:rPr>
      </w:r>
      <w:r w:rsidRPr="00A54612">
        <w:rPr>
          <w:rFonts w:eastAsia="Calibri"/>
          <w:lang w:val="en-US"/>
        </w:rPr>
        <w:fldChar w:fldCharType="separate"/>
      </w:r>
      <w:r w:rsidR="00464704" w:rsidRPr="00A54612">
        <w:rPr>
          <w:rFonts w:eastAsia="Calibri"/>
          <w:lang w:val="en-US"/>
        </w:rPr>
        <w:t>Table 1</w:t>
      </w:r>
      <w:r w:rsidRPr="00A54612">
        <w:rPr>
          <w:rFonts w:eastAsia="Calibri"/>
          <w:lang w:val="en-US"/>
        </w:rPr>
        <w:fldChar w:fldCharType="end"/>
      </w:r>
      <w:r w:rsidRPr="00A54612">
        <w:rPr>
          <w:rFonts w:eastAsia="Calibri"/>
          <w:lang w:val="en-US"/>
        </w:rPr>
        <w:t xml:space="preserve">. </w:t>
      </w:r>
    </w:p>
    <w:p w14:paraId="2C6CD288"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65D584CB"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31" w:name="_Ref124252152"/>
      <w:r w:rsidRPr="00A54612">
        <w:rPr>
          <w:rFonts w:eastAsia="Calibri"/>
          <w:b/>
          <w:bCs/>
          <w:i/>
          <w:iCs/>
          <w:sz w:val="20"/>
          <w:szCs w:val="20"/>
          <w:lang w:val="en"/>
        </w:rPr>
        <w:t>Table 1</w:t>
      </w:r>
      <w:bookmarkEnd w:id="31"/>
      <w:r w:rsidRPr="00A54612">
        <w:rPr>
          <w:rFonts w:eastAsia="Calibri"/>
          <w:b/>
          <w:bCs/>
          <w:i/>
          <w:iCs/>
          <w:sz w:val="20"/>
          <w:szCs w:val="20"/>
          <w:lang w:val="en"/>
        </w:rPr>
        <w:t xml:space="preserve">: </w:t>
      </w:r>
      <w:bookmarkStart w:id="32" w:name="_Hlk125719566"/>
      <w:r w:rsidRPr="00A54612">
        <w:rPr>
          <w:rFonts w:eastAsia="Calibri"/>
          <w:b/>
          <w:bCs/>
          <w:i/>
          <w:iCs/>
          <w:sz w:val="20"/>
          <w:szCs w:val="20"/>
          <w:lang w:val="en"/>
        </w:rPr>
        <w:t xml:space="preserve">System frequency ranges and minimum operating times for PGMs connected at </w:t>
      </w:r>
      <w:proofErr w:type="gramStart"/>
      <w:r w:rsidRPr="00A54612">
        <w:rPr>
          <w:rFonts w:eastAsia="Calibri"/>
          <w:b/>
          <w:bCs/>
          <w:i/>
          <w:iCs/>
          <w:sz w:val="20"/>
          <w:szCs w:val="20"/>
          <w:lang w:val="en"/>
        </w:rPr>
        <w:t>HETS</w:t>
      </w:r>
      <w:bookmarkEnd w:id="32"/>
      <w:proofErr w:type="gramEnd"/>
    </w:p>
    <w:tbl>
      <w:tblPr>
        <w:tblStyle w:val="af3"/>
        <w:tblW w:w="0" w:type="auto"/>
        <w:jc w:val="center"/>
        <w:tblLook w:val="04A0" w:firstRow="1" w:lastRow="0" w:firstColumn="1" w:lastColumn="0" w:noHBand="0" w:noVBand="1"/>
      </w:tblPr>
      <w:tblGrid>
        <w:gridCol w:w="2250"/>
        <w:gridCol w:w="2155"/>
      </w:tblGrid>
      <w:tr w:rsidR="00A54612" w:rsidRPr="00A54612" w14:paraId="56952C9D" w14:textId="77777777" w:rsidTr="00172AED">
        <w:trPr>
          <w:jc w:val="center"/>
        </w:trPr>
        <w:tc>
          <w:tcPr>
            <w:tcW w:w="2250" w:type="dxa"/>
            <w:vAlign w:val="center"/>
          </w:tcPr>
          <w:p w14:paraId="4B545456"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US"/>
              </w:rPr>
            </w:pPr>
            <w:bookmarkStart w:id="33" w:name="_Hlk125719544"/>
            <w:r w:rsidRPr="00A54612">
              <w:rPr>
                <w:rFonts w:eastAsia="Calibri"/>
                <w:b/>
                <w:bCs/>
                <w:sz w:val="20"/>
                <w:szCs w:val="20"/>
                <w:lang w:val="en-US"/>
              </w:rPr>
              <w:t>Frequency Ranges</w:t>
            </w:r>
          </w:p>
        </w:tc>
        <w:tc>
          <w:tcPr>
            <w:tcW w:w="2155" w:type="dxa"/>
            <w:vAlign w:val="center"/>
          </w:tcPr>
          <w:p w14:paraId="7D3432FE"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US"/>
              </w:rPr>
            </w:pPr>
            <w:r w:rsidRPr="00A54612">
              <w:rPr>
                <w:rFonts w:eastAsia="Calibri"/>
                <w:b/>
                <w:bCs/>
                <w:sz w:val="20"/>
                <w:szCs w:val="20"/>
                <w:lang w:val="en-US"/>
              </w:rPr>
              <w:t>Minimum duration of operation</w:t>
            </w:r>
          </w:p>
        </w:tc>
      </w:tr>
      <w:tr w:rsidR="00A54612" w:rsidRPr="00A54612" w14:paraId="01BB8E42" w14:textId="77777777" w:rsidTr="00172AED">
        <w:trPr>
          <w:jc w:val="center"/>
        </w:trPr>
        <w:tc>
          <w:tcPr>
            <w:tcW w:w="2250" w:type="dxa"/>
            <w:vAlign w:val="center"/>
          </w:tcPr>
          <w:p w14:paraId="33DD6412" w14:textId="77777777" w:rsidR="00A54612" w:rsidRPr="00A54612" w:rsidRDefault="00A54612" w:rsidP="00A54612">
            <w:pPr>
              <w:tabs>
                <w:tab w:val="clear" w:pos="1189"/>
              </w:tabs>
              <w:spacing w:after="0" w:line="240" w:lineRule="auto"/>
              <w:ind w:left="720" w:right="0" w:hanging="720"/>
              <w:jc w:val="center"/>
              <w:rPr>
                <w:rFonts w:eastAsia="Calibri"/>
                <w:sz w:val="20"/>
                <w:szCs w:val="20"/>
                <w:lang w:val="en-US"/>
              </w:rPr>
            </w:pPr>
            <w:r w:rsidRPr="00A54612">
              <w:rPr>
                <w:rFonts w:eastAsia="Calibri"/>
                <w:sz w:val="20"/>
                <w:szCs w:val="20"/>
                <w:lang w:val="en-US"/>
              </w:rPr>
              <w:t>47,5Hz – 48,5Hz</w:t>
            </w:r>
          </w:p>
        </w:tc>
        <w:tc>
          <w:tcPr>
            <w:tcW w:w="2155" w:type="dxa"/>
            <w:vAlign w:val="center"/>
          </w:tcPr>
          <w:p w14:paraId="4F54C2A2" w14:textId="77777777" w:rsidR="00A54612" w:rsidRPr="00A54612" w:rsidRDefault="00A54612" w:rsidP="00A54612">
            <w:pPr>
              <w:tabs>
                <w:tab w:val="clear" w:pos="1189"/>
              </w:tabs>
              <w:spacing w:after="0" w:line="240" w:lineRule="auto"/>
              <w:ind w:left="720" w:right="0" w:hanging="720"/>
              <w:jc w:val="center"/>
              <w:rPr>
                <w:rFonts w:eastAsia="Calibri"/>
                <w:sz w:val="20"/>
                <w:szCs w:val="20"/>
                <w:lang w:val="en-US"/>
              </w:rPr>
            </w:pPr>
            <w:r w:rsidRPr="00A54612">
              <w:rPr>
                <w:rFonts w:eastAsia="Calibri"/>
                <w:sz w:val="20"/>
                <w:szCs w:val="20"/>
                <w:lang w:val="en-US"/>
              </w:rPr>
              <w:t>30 min</w:t>
            </w:r>
          </w:p>
        </w:tc>
      </w:tr>
      <w:tr w:rsidR="00A54612" w:rsidRPr="00A54612" w14:paraId="18189E67" w14:textId="77777777" w:rsidTr="00172AED">
        <w:trPr>
          <w:jc w:val="center"/>
        </w:trPr>
        <w:tc>
          <w:tcPr>
            <w:tcW w:w="2250" w:type="dxa"/>
            <w:vAlign w:val="center"/>
          </w:tcPr>
          <w:p w14:paraId="134D1F72" w14:textId="77777777" w:rsidR="00A54612" w:rsidRPr="00A54612" w:rsidRDefault="00A54612" w:rsidP="00A54612">
            <w:pPr>
              <w:tabs>
                <w:tab w:val="clear" w:pos="1189"/>
              </w:tabs>
              <w:spacing w:after="0" w:line="240" w:lineRule="auto"/>
              <w:ind w:left="720" w:right="0" w:hanging="720"/>
              <w:jc w:val="center"/>
              <w:rPr>
                <w:rFonts w:eastAsia="Calibri"/>
                <w:sz w:val="20"/>
                <w:szCs w:val="20"/>
                <w:lang w:val="en-US"/>
              </w:rPr>
            </w:pPr>
            <w:r w:rsidRPr="00A54612">
              <w:rPr>
                <w:rFonts w:eastAsia="Calibri"/>
                <w:sz w:val="20"/>
                <w:szCs w:val="20"/>
                <w:lang w:val="en-US"/>
              </w:rPr>
              <w:t>48,5Hz – 49,0Hz</w:t>
            </w:r>
          </w:p>
        </w:tc>
        <w:tc>
          <w:tcPr>
            <w:tcW w:w="2155" w:type="dxa"/>
            <w:vAlign w:val="center"/>
          </w:tcPr>
          <w:p w14:paraId="10BC0501" w14:textId="77777777" w:rsidR="00A54612" w:rsidRPr="00A54612" w:rsidRDefault="00A54612" w:rsidP="00A54612">
            <w:pPr>
              <w:tabs>
                <w:tab w:val="clear" w:pos="1189"/>
              </w:tabs>
              <w:spacing w:after="0" w:line="240" w:lineRule="auto"/>
              <w:ind w:left="720" w:right="0" w:hanging="720"/>
              <w:jc w:val="center"/>
              <w:rPr>
                <w:rFonts w:eastAsia="Calibri"/>
                <w:sz w:val="20"/>
                <w:szCs w:val="20"/>
                <w:lang w:val="en-US"/>
              </w:rPr>
            </w:pPr>
            <w:r w:rsidRPr="00A54612">
              <w:rPr>
                <w:rFonts w:eastAsia="Calibri"/>
                <w:sz w:val="20"/>
                <w:szCs w:val="20"/>
                <w:lang w:val="en-US"/>
              </w:rPr>
              <w:t>30 min</w:t>
            </w:r>
          </w:p>
        </w:tc>
      </w:tr>
      <w:tr w:rsidR="00A54612" w:rsidRPr="00A54612" w14:paraId="53D98824" w14:textId="77777777" w:rsidTr="00172AED">
        <w:trPr>
          <w:jc w:val="center"/>
        </w:trPr>
        <w:tc>
          <w:tcPr>
            <w:tcW w:w="2250" w:type="dxa"/>
            <w:vAlign w:val="center"/>
          </w:tcPr>
          <w:p w14:paraId="0381A140" w14:textId="77777777" w:rsidR="00A54612" w:rsidRPr="00A54612" w:rsidRDefault="00A54612" w:rsidP="00A54612">
            <w:pPr>
              <w:tabs>
                <w:tab w:val="clear" w:pos="1189"/>
              </w:tabs>
              <w:spacing w:after="0" w:line="240" w:lineRule="auto"/>
              <w:ind w:left="720" w:right="0" w:hanging="720"/>
              <w:jc w:val="center"/>
              <w:rPr>
                <w:rFonts w:eastAsia="Calibri"/>
                <w:sz w:val="20"/>
                <w:szCs w:val="20"/>
                <w:lang w:val="en-US"/>
              </w:rPr>
            </w:pPr>
            <w:r w:rsidRPr="00A54612">
              <w:rPr>
                <w:rFonts w:eastAsia="Calibri"/>
                <w:sz w:val="20"/>
                <w:szCs w:val="20"/>
                <w:lang w:val="en-US"/>
              </w:rPr>
              <w:t>49,0Hz – 51,0Hz</w:t>
            </w:r>
          </w:p>
        </w:tc>
        <w:tc>
          <w:tcPr>
            <w:tcW w:w="2155" w:type="dxa"/>
            <w:vAlign w:val="center"/>
          </w:tcPr>
          <w:p w14:paraId="1F13C0D6" w14:textId="77777777" w:rsidR="00A54612" w:rsidRPr="00A54612" w:rsidRDefault="00A54612" w:rsidP="00A54612">
            <w:pPr>
              <w:tabs>
                <w:tab w:val="clear" w:pos="1189"/>
              </w:tabs>
              <w:spacing w:after="0" w:line="240" w:lineRule="auto"/>
              <w:ind w:left="720" w:right="0" w:hanging="720"/>
              <w:jc w:val="center"/>
              <w:rPr>
                <w:rFonts w:eastAsia="Calibri"/>
                <w:sz w:val="20"/>
                <w:szCs w:val="20"/>
                <w:lang w:val="en-US"/>
              </w:rPr>
            </w:pPr>
            <w:r w:rsidRPr="00A54612">
              <w:rPr>
                <w:rFonts w:eastAsia="Calibri"/>
                <w:sz w:val="20"/>
                <w:szCs w:val="20"/>
                <w:lang w:val="en-US"/>
              </w:rPr>
              <w:t>Unlimited</w:t>
            </w:r>
          </w:p>
        </w:tc>
      </w:tr>
      <w:tr w:rsidR="00A54612" w:rsidRPr="00A54612" w14:paraId="5748CD9A" w14:textId="77777777" w:rsidTr="00172AED">
        <w:trPr>
          <w:jc w:val="center"/>
        </w:trPr>
        <w:tc>
          <w:tcPr>
            <w:tcW w:w="2250" w:type="dxa"/>
            <w:vAlign w:val="center"/>
          </w:tcPr>
          <w:p w14:paraId="5B48A1F8" w14:textId="77777777" w:rsidR="00A54612" w:rsidRPr="00A54612" w:rsidRDefault="00A54612" w:rsidP="00A54612">
            <w:pPr>
              <w:tabs>
                <w:tab w:val="clear" w:pos="1189"/>
              </w:tabs>
              <w:spacing w:after="0" w:line="240" w:lineRule="auto"/>
              <w:ind w:left="720" w:right="0" w:hanging="720"/>
              <w:jc w:val="center"/>
              <w:rPr>
                <w:rFonts w:eastAsia="Calibri"/>
                <w:sz w:val="20"/>
                <w:szCs w:val="20"/>
                <w:lang w:val="en-US"/>
              </w:rPr>
            </w:pPr>
            <w:r w:rsidRPr="00A54612">
              <w:rPr>
                <w:rFonts w:eastAsia="Calibri"/>
                <w:sz w:val="20"/>
                <w:szCs w:val="20"/>
                <w:lang w:val="en-US"/>
              </w:rPr>
              <w:t>51,0Hz – 51,5Hz</w:t>
            </w:r>
          </w:p>
        </w:tc>
        <w:tc>
          <w:tcPr>
            <w:tcW w:w="2155" w:type="dxa"/>
            <w:vAlign w:val="center"/>
          </w:tcPr>
          <w:p w14:paraId="0C7A9F95" w14:textId="77777777" w:rsidR="00A54612" w:rsidRPr="00A54612" w:rsidRDefault="00A54612" w:rsidP="00A54612">
            <w:pPr>
              <w:tabs>
                <w:tab w:val="clear" w:pos="1189"/>
              </w:tabs>
              <w:spacing w:after="0" w:line="240" w:lineRule="auto"/>
              <w:ind w:left="720" w:right="0" w:hanging="720"/>
              <w:jc w:val="center"/>
              <w:rPr>
                <w:rFonts w:eastAsia="Calibri"/>
                <w:sz w:val="20"/>
                <w:szCs w:val="20"/>
                <w:lang w:val="en-US"/>
              </w:rPr>
            </w:pPr>
            <w:r w:rsidRPr="00A54612">
              <w:rPr>
                <w:rFonts w:eastAsia="Calibri"/>
                <w:sz w:val="20"/>
                <w:szCs w:val="20"/>
                <w:lang w:val="en-US"/>
              </w:rPr>
              <w:t>30 min</w:t>
            </w:r>
          </w:p>
        </w:tc>
      </w:tr>
      <w:tr w:rsidR="00A54612" w:rsidRPr="00A54612" w14:paraId="2E8FD0BD" w14:textId="77777777" w:rsidTr="00172AED">
        <w:trPr>
          <w:jc w:val="center"/>
        </w:trPr>
        <w:tc>
          <w:tcPr>
            <w:tcW w:w="2250" w:type="dxa"/>
            <w:vAlign w:val="center"/>
          </w:tcPr>
          <w:p w14:paraId="1F0468CF" w14:textId="77777777" w:rsidR="00A54612" w:rsidRPr="00A54612" w:rsidRDefault="00A54612" w:rsidP="00A54612">
            <w:pPr>
              <w:tabs>
                <w:tab w:val="clear" w:pos="1189"/>
              </w:tabs>
              <w:spacing w:after="0" w:line="240" w:lineRule="auto"/>
              <w:ind w:left="720" w:right="0" w:hanging="720"/>
              <w:jc w:val="center"/>
              <w:rPr>
                <w:rFonts w:eastAsia="Calibri"/>
                <w:sz w:val="20"/>
                <w:szCs w:val="20"/>
                <w:lang w:val="en-US"/>
              </w:rPr>
            </w:pPr>
            <w:r w:rsidRPr="00A54612">
              <w:rPr>
                <w:rFonts w:eastAsia="Calibri"/>
                <w:sz w:val="20"/>
                <w:szCs w:val="20"/>
                <w:lang w:val="en-US"/>
              </w:rPr>
              <w:t>51,5 Hz-52,5 Hz</w:t>
            </w:r>
          </w:p>
        </w:tc>
        <w:tc>
          <w:tcPr>
            <w:tcW w:w="2155" w:type="dxa"/>
            <w:vAlign w:val="center"/>
          </w:tcPr>
          <w:p w14:paraId="07359B34" w14:textId="77777777" w:rsidR="00A54612" w:rsidRPr="00A54612" w:rsidRDefault="00A54612" w:rsidP="00A54612">
            <w:pPr>
              <w:tabs>
                <w:tab w:val="clear" w:pos="1189"/>
              </w:tabs>
              <w:spacing w:after="0" w:line="240" w:lineRule="auto"/>
              <w:ind w:left="720" w:right="0" w:hanging="720"/>
              <w:jc w:val="center"/>
              <w:rPr>
                <w:rFonts w:eastAsia="Calibri"/>
                <w:sz w:val="20"/>
                <w:szCs w:val="20"/>
                <w:lang w:val="en-US"/>
              </w:rPr>
            </w:pPr>
            <w:r w:rsidRPr="00A54612">
              <w:rPr>
                <w:rFonts w:eastAsia="Calibri"/>
                <w:sz w:val="20"/>
                <w:szCs w:val="20"/>
                <w:lang w:val="en-US"/>
              </w:rPr>
              <w:t>10 sec</w:t>
            </w:r>
          </w:p>
        </w:tc>
      </w:tr>
      <w:bookmarkEnd w:id="33"/>
    </w:tbl>
    <w:p w14:paraId="5E47BB00"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p>
    <w:p w14:paraId="00DDCEC3"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r w:rsidRPr="00A54612">
        <w:rPr>
          <w:rFonts w:eastAsia="Calibri"/>
          <w:szCs w:val="20"/>
          <w:lang w:val="en-US"/>
        </w:rPr>
        <w:t xml:space="preserve">IPTO and the ESM owner may agree on wider frequency ranges, longer minimum times for operation or specific requirements for combined frequency and voltage deviations to ensure the best use of the technical capabilities of an ESM, if it is required to preserve or to restore system security.  </w:t>
      </w:r>
    </w:p>
    <w:p w14:paraId="5851C78F"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p>
    <w:p w14:paraId="5461A60C" w14:textId="50356E99" w:rsidR="00A54612" w:rsidRPr="00A54612" w:rsidRDefault="007A3E7A" w:rsidP="00A54612">
      <w:pPr>
        <w:keepNext/>
        <w:keepLines/>
        <w:widowControl/>
        <w:numPr>
          <w:ilvl w:val="1"/>
          <w:numId w:val="0"/>
        </w:numPr>
        <w:tabs>
          <w:tab w:val="clear" w:pos="1189"/>
        </w:tabs>
        <w:autoSpaceDE/>
        <w:autoSpaceDN/>
        <w:spacing w:before="360" w:after="360" w:line="240" w:lineRule="auto"/>
        <w:ind w:left="578" w:right="0" w:hanging="578"/>
        <w:jc w:val="left"/>
        <w:outlineLvl w:val="1"/>
        <w:rPr>
          <w:b/>
          <w:sz w:val="28"/>
          <w:szCs w:val="28"/>
          <w:lang w:val="en-US"/>
        </w:rPr>
      </w:pPr>
      <w:bookmarkStart w:id="34" w:name="_Ref130915866"/>
      <w:bookmarkStart w:id="35" w:name="_Toc137323481"/>
      <w:r w:rsidRPr="00407EE5">
        <w:rPr>
          <w:b/>
          <w:sz w:val="28"/>
          <w:szCs w:val="28"/>
          <w:lang w:val="en-US"/>
        </w:rPr>
        <w:t xml:space="preserve">2.2 </w:t>
      </w:r>
      <w:r w:rsidR="00A54612" w:rsidRPr="00A54612">
        <w:rPr>
          <w:b/>
          <w:sz w:val="28"/>
          <w:szCs w:val="28"/>
          <w:lang w:val="en-US"/>
        </w:rPr>
        <w:t>Voltage operating ranges</w:t>
      </w:r>
      <w:bookmarkEnd w:id="34"/>
      <w:bookmarkEnd w:id="35"/>
    </w:p>
    <w:p w14:paraId="412BEB48" w14:textId="58F165BF"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All ESMs connected to the HETS shall be capable of staying connected and operate stably within the phase-to-phase voltage ranges at the CP (expressed in </w:t>
      </w:r>
      <w:proofErr w:type="spellStart"/>
      <w:r w:rsidRPr="00A54612">
        <w:rPr>
          <w:rFonts w:eastAsia="Calibri"/>
          <w:lang w:val="en-US"/>
        </w:rPr>
        <w:t>p.u</w:t>
      </w:r>
      <w:proofErr w:type="spellEnd"/>
      <w:r w:rsidRPr="00A54612">
        <w:rPr>
          <w:rFonts w:eastAsia="Calibri"/>
          <w:lang w:val="en-US"/>
        </w:rPr>
        <w:t xml:space="preserve">. of the reference voltage) and for the minimum time periods specified in </w:t>
      </w:r>
      <w:r w:rsidRPr="00A54612">
        <w:rPr>
          <w:rFonts w:eastAsia="Calibri"/>
          <w:lang w:val="en-US"/>
        </w:rPr>
        <w:fldChar w:fldCharType="begin"/>
      </w:r>
      <w:r w:rsidRPr="00A54612">
        <w:rPr>
          <w:rFonts w:eastAsia="Calibri"/>
          <w:lang w:val="en-US"/>
        </w:rPr>
        <w:instrText xml:space="preserve"> REF _Ref124253189 \h  \* MERGEFORMAT </w:instrText>
      </w:r>
      <w:r w:rsidRPr="00A54612">
        <w:rPr>
          <w:rFonts w:eastAsia="Calibri"/>
          <w:lang w:val="en-US"/>
        </w:rPr>
      </w:r>
      <w:r w:rsidRPr="00A54612">
        <w:rPr>
          <w:rFonts w:eastAsia="Calibri"/>
          <w:lang w:val="en-US"/>
        </w:rPr>
        <w:fldChar w:fldCharType="separate"/>
      </w:r>
      <w:r w:rsidR="00464704" w:rsidRPr="00A54612">
        <w:rPr>
          <w:rFonts w:eastAsia="Calibri"/>
          <w:lang w:val="en-US"/>
        </w:rPr>
        <w:t xml:space="preserve">Table </w:t>
      </w:r>
      <w:r w:rsidRPr="00A54612">
        <w:rPr>
          <w:rFonts w:eastAsia="Calibri"/>
          <w:lang w:val="en-US"/>
        </w:rPr>
        <w:fldChar w:fldCharType="end"/>
      </w:r>
      <w:r w:rsidRPr="00A54612">
        <w:rPr>
          <w:rFonts w:eastAsia="Calibri"/>
          <w:lang w:val="en-US"/>
        </w:rPr>
        <w:t xml:space="preserve"> (for CP with nominal voltage 150kV) and Table 3 (for CP with nominal voltage 400kV).</w:t>
      </w:r>
    </w:p>
    <w:p w14:paraId="4CEE0997"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p>
    <w:p w14:paraId="62F2B6ED"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p>
    <w:p w14:paraId="14609078"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36" w:name="_Ref124253189"/>
      <w:r w:rsidRPr="00A54612">
        <w:rPr>
          <w:rFonts w:eastAsia="Calibri"/>
          <w:b/>
          <w:bCs/>
          <w:i/>
          <w:iCs/>
          <w:sz w:val="20"/>
          <w:szCs w:val="20"/>
          <w:lang w:val="en"/>
        </w:rPr>
        <w:t xml:space="preserve">Table </w:t>
      </w:r>
      <w:bookmarkEnd w:id="36"/>
      <w:r w:rsidRPr="00A54612">
        <w:rPr>
          <w:rFonts w:eastAsia="Calibri"/>
          <w:b/>
          <w:bCs/>
          <w:i/>
          <w:iCs/>
          <w:sz w:val="20"/>
          <w:szCs w:val="20"/>
          <w:lang w:val="en"/>
        </w:rPr>
        <w:t xml:space="preserve">2: Minimum time periods during which </w:t>
      </w:r>
      <w:bookmarkStart w:id="37" w:name="_Hlk127443254"/>
      <w:r w:rsidRPr="00A54612">
        <w:rPr>
          <w:rFonts w:eastAsia="Calibri"/>
          <w:b/>
          <w:bCs/>
          <w:i/>
          <w:iCs/>
          <w:sz w:val="20"/>
          <w:szCs w:val="20"/>
          <w:lang w:val="en"/>
        </w:rPr>
        <w:t xml:space="preserve">an ESM </w:t>
      </w:r>
      <w:bookmarkEnd w:id="37"/>
      <w:r w:rsidRPr="00A54612">
        <w:rPr>
          <w:rFonts w:eastAsia="Calibri"/>
          <w:b/>
          <w:bCs/>
          <w:i/>
          <w:iCs/>
          <w:sz w:val="20"/>
          <w:szCs w:val="20"/>
          <w:lang w:val="en"/>
        </w:rPr>
        <w:t xml:space="preserve">must be capable of operating without disconnecting from the HETS for phase-to-phase voltages deviating from the reference value at the CP, voltage values are in </w:t>
      </w:r>
      <w:proofErr w:type="spellStart"/>
      <w:r w:rsidRPr="00A54612">
        <w:rPr>
          <w:rFonts w:eastAsia="Calibri"/>
          <w:b/>
          <w:bCs/>
          <w:i/>
          <w:iCs/>
          <w:sz w:val="20"/>
          <w:szCs w:val="20"/>
          <w:lang w:val="en"/>
        </w:rPr>
        <w:t>p.u</w:t>
      </w:r>
      <w:proofErr w:type="spellEnd"/>
      <w:r w:rsidRPr="00A54612">
        <w:rPr>
          <w:rFonts w:eastAsia="Calibri"/>
          <w:b/>
          <w:bCs/>
          <w:i/>
          <w:iCs/>
          <w:sz w:val="20"/>
          <w:szCs w:val="20"/>
          <w:lang w:val="en"/>
        </w:rPr>
        <w:t xml:space="preserve">. on 150 kV </w:t>
      </w:r>
      <w:proofErr w:type="gramStart"/>
      <w:r w:rsidRPr="00A54612">
        <w:rPr>
          <w:rFonts w:eastAsia="Calibri"/>
          <w:b/>
          <w:bCs/>
          <w:i/>
          <w:iCs/>
          <w:sz w:val="20"/>
          <w:szCs w:val="20"/>
          <w:lang w:val="en"/>
        </w:rPr>
        <w:t>base</w:t>
      </w:r>
      <w:proofErr w:type="gramEnd"/>
    </w:p>
    <w:tbl>
      <w:tblPr>
        <w:tblStyle w:val="af3"/>
        <w:tblW w:w="0" w:type="auto"/>
        <w:jc w:val="center"/>
        <w:tblLook w:val="04A0" w:firstRow="1" w:lastRow="0" w:firstColumn="1" w:lastColumn="0" w:noHBand="0" w:noVBand="1"/>
      </w:tblPr>
      <w:tblGrid>
        <w:gridCol w:w="1742"/>
        <w:gridCol w:w="2034"/>
        <w:gridCol w:w="2034"/>
      </w:tblGrid>
      <w:tr w:rsidR="00A54612" w:rsidRPr="00A54612" w14:paraId="6DD7CD00" w14:textId="77777777" w:rsidTr="00172AED">
        <w:trPr>
          <w:jc w:val="center"/>
        </w:trPr>
        <w:tc>
          <w:tcPr>
            <w:tcW w:w="0" w:type="auto"/>
            <w:shd w:val="clear" w:color="auto" w:fill="auto"/>
            <w:vAlign w:val="center"/>
          </w:tcPr>
          <w:p w14:paraId="5793146C"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US"/>
              </w:rPr>
            </w:pPr>
            <w:r w:rsidRPr="00A54612">
              <w:rPr>
                <w:rFonts w:eastAsia="Calibri"/>
                <w:b/>
                <w:bCs/>
                <w:sz w:val="20"/>
                <w:szCs w:val="20"/>
                <w:lang w:val="en-US"/>
              </w:rPr>
              <w:t>Voltage range</w:t>
            </w:r>
          </w:p>
          <w:p w14:paraId="4083625A"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US"/>
              </w:rPr>
            </w:pPr>
            <w:r w:rsidRPr="00A54612">
              <w:rPr>
                <w:rFonts w:eastAsia="Calibri"/>
                <w:b/>
                <w:bCs/>
                <w:sz w:val="20"/>
                <w:szCs w:val="20"/>
                <w:lang w:val="en-US"/>
              </w:rPr>
              <w:t xml:space="preserve">In </w:t>
            </w:r>
            <w:proofErr w:type="spellStart"/>
            <w:r w:rsidRPr="00A54612">
              <w:rPr>
                <w:rFonts w:eastAsia="Calibri"/>
                <w:b/>
                <w:bCs/>
                <w:sz w:val="20"/>
                <w:szCs w:val="20"/>
                <w:lang w:val="en-US"/>
              </w:rPr>
              <w:t>p.u</w:t>
            </w:r>
            <w:proofErr w:type="spellEnd"/>
            <w:r w:rsidRPr="00A54612">
              <w:rPr>
                <w:rFonts w:eastAsia="Calibri"/>
                <w:b/>
                <w:bCs/>
                <w:sz w:val="20"/>
                <w:szCs w:val="20"/>
                <w:lang w:val="en-US"/>
              </w:rPr>
              <w:t>.</w:t>
            </w:r>
          </w:p>
        </w:tc>
        <w:tc>
          <w:tcPr>
            <w:tcW w:w="2034" w:type="dxa"/>
            <w:vAlign w:val="center"/>
          </w:tcPr>
          <w:p w14:paraId="0B60FED9"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US"/>
              </w:rPr>
            </w:pPr>
            <w:r w:rsidRPr="00A54612">
              <w:rPr>
                <w:rFonts w:eastAsia="Calibri"/>
                <w:b/>
                <w:bCs/>
                <w:sz w:val="20"/>
                <w:szCs w:val="20"/>
                <w:lang w:val="en-US"/>
              </w:rPr>
              <w:t>Voltage range</w:t>
            </w:r>
          </w:p>
          <w:p w14:paraId="231D90BE"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US"/>
              </w:rPr>
            </w:pPr>
            <w:r w:rsidRPr="00A54612">
              <w:rPr>
                <w:rFonts w:eastAsia="Calibri"/>
                <w:b/>
                <w:bCs/>
                <w:sz w:val="20"/>
                <w:szCs w:val="20"/>
                <w:lang w:val="en-US"/>
              </w:rPr>
              <w:t xml:space="preserve">In kV </w:t>
            </w:r>
          </w:p>
        </w:tc>
        <w:tc>
          <w:tcPr>
            <w:tcW w:w="2034" w:type="dxa"/>
            <w:shd w:val="clear" w:color="auto" w:fill="auto"/>
            <w:vAlign w:val="center"/>
          </w:tcPr>
          <w:p w14:paraId="40468E8F"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US"/>
              </w:rPr>
            </w:pPr>
            <w:r w:rsidRPr="00A54612">
              <w:rPr>
                <w:rFonts w:eastAsia="Calibri"/>
                <w:b/>
                <w:bCs/>
                <w:sz w:val="20"/>
                <w:szCs w:val="20"/>
                <w:lang w:val="en-US"/>
              </w:rPr>
              <w:t>Minimum duration of operation</w:t>
            </w:r>
          </w:p>
        </w:tc>
      </w:tr>
      <w:tr w:rsidR="00A54612" w:rsidRPr="00A54612" w14:paraId="45DD07BD" w14:textId="77777777" w:rsidTr="00172AED">
        <w:trPr>
          <w:jc w:val="center"/>
        </w:trPr>
        <w:tc>
          <w:tcPr>
            <w:tcW w:w="0" w:type="auto"/>
            <w:shd w:val="clear" w:color="auto" w:fill="auto"/>
            <w:vAlign w:val="center"/>
          </w:tcPr>
          <w:p w14:paraId="0AE07D07" w14:textId="77777777" w:rsidR="00A54612" w:rsidRPr="00A54612" w:rsidRDefault="00A54612" w:rsidP="00A54612">
            <w:pPr>
              <w:tabs>
                <w:tab w:val="clear" w:pos="1189"/>
              </w:tabs>
              <w:spacing w:after="0" w:line="240" w:lineRule="auto"/>
              <w:ind w:right="0"/>
              <w:jc w:val="center"/>
              <w:rPr>
                <w:rFonts w:eastAsia="Calibri"/>
                <w:sz w:val="20"/>
                <w:szCs w:val="20"/>
                <w:lang w:val="en-GB"/>
              </w:rPr>
            </w:pPr>
            <w:r w:rsidRPr="00A54612">
              <w:rPr>
                <w:rFonts w:eastAsia="Cambria"/>
                <w:sz w:val="20"/>
                <w:szCs w:val="20"/>
                <w:lang w:val="en-US"/>
              </w:rPr>
              <w:t xml:space="preserve">0,85 – 0,90 </w:t>
            </w:r>
            <w:proofErr w:type="spellStart"/>
            <w:r w:rsidRPr="00A54612">
              <w:rPr>
                <w:rFonts w:eastAsia="Cambria"/>
                <w:sz w:val="20"/>
                <w:szCs w:val="20"/>
                <w:lang w:val="en-US"/>
              </w:rPr>
              <w:t>p.u</w:t>
            </w:r>
            <w:proofErr w:type="spellEnd"/>
            <w:r w:rsidRPr="00A54612">
              <w:rPr>
                <w:rFonts w:eastAsia="Cambria"/>
                <w:sz w:val="20"/>
                <w:szCs w:val="20"/>
                <w:lang w:val="en-US"/>
              </w:rPr>
              <w:t>.</w:t>
            </w:r>
          </w:p>
        </w:tc>
        <w:tc>
          <w:tcPr>
            <w:tcW w:w="2034" w:type="dxa"/>
            <w:vAlign w:val="center"/>
          </w:tcPr>
          <w:p w14:paraId="61292B1D"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127,5 – 135 kV</w:t>
            </w:r>
          </w:p>
        </w:tc>
        <w:tc>
          <w:tcPr>
            <w:tcW w:w="2034" w:type="dxa"/>
            <w:shd w:val="clear" w:color="auto" w:fill="auto"/>
            <w:vAlign w:val="center"/>
          </w:tcPr>
          <w:p w14:paraId="0367F2DF"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60 minutes</w:t>
            </w:r>
          </w:p>
        </w:tc>
      </w:tr>
      <w:tr w:rsidR="00A54612" w:rsidRPr="00A54612" w14:paraId="5C0A1E0F" w14:textId="77777777" w:rsidTr="00172AED">
        <w:trPr>
          <w:jc w:val="center"/>
        </w:trPr>
        <w:tc>
          <w:tcPr>
            <w:tcW w:w="0" w:type="auto"/>
            <w:shd w:val="clear" w:color="auto" w:fill="auto"/>
            <w:vAlign w:val="center"/>
          </w:tcPr>
          <w:p w14:paraId="4B7EB660" w14:textId="77777777" w:rsidR="00A54612" w:rsidRPr="00A54612" w:rsidRDefault="00A54612" w:rsidP="00A54612">
            <w:pPr>
              <w:tabs>
                <w:tab w:val="clear" w:pos="1189"/>
              </w:tabs>
              <w:spacing w:after="0" w:line="240" w:lineRule="auto"/>
              <w:ind w:right="0"/>
              <w:jc w:val="center"/>
              <w:rPr>
                <w:rFonts w:eastAsia="Calibri"/>
                <w:sz w:val="20"/>
                <w:szCs w:val="20"/>
                <w:lang w:val="en-GB"/>
              </w:rPr>
            </w:pPr>
            <w:r w:rsidRPr="00A54612">
              <w:rPr>
                <w:rFonts w:eastAsia="Cambria"/>
                <w:sz w:val="20"/>
                <w:szCs w:val="20"/>
                <w:lang w:val="en-US"/>
              </w:rPr>
              <w:t xml:space="preserve">0,90 – 1,118 </w:t>
            </w:r>
            <w:proofErr w:type="spellStart"/>
            <w:r w:rsidRPr="00A54612">
              <w:rPr>
                <w:rFonts w:eastAsia="Cambria"/>
                <w:sz w:val="20"/>
                <w:szCs w:val="20"/>
                <w:lang w:val="en-US"/>
              </w:rPr>
              <w:t>p.u</w:t>
            </w:r>
            <w:proofErr w:type="spellEnd"/>
            <w:r w:rsidRPr="00A54612">
              <w:rPr>
                <w:rFonts w:eastAsia="Cambria"/>
                <w:sz w:val="20"/>
                <w:szCs w:val="20"/>
                <w:lang w:val="en-US"/>
              </w:rPr>
              <w:t>.</w:t>
            </w:r>
          </w:p>
        </w:tc>
        <w:tc>
          <w:tcPr>
            <w:tcW w:w="2034" w:type="dxa"/>
            <w:vAlign w:val="center"/>
          </w:tcPr>
          <w:p w14:paraId="57275D1C"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135 – 167,7 kV</w:t>
            </w:r>
          </w:p>
        </w:tc>
        <w:tc>
          <w:tcPr>
            <w:tcW w:w="2034" w:type="dxa"/>
            <w:shd w:val="clear" w:color="auto" w:fill="auto"/>
            <w:vAlign w:val="center"/>
          </w:tcPr>
          <w:p w14:paraId="1C2BEC04"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unlimited</w:t>
            </w:r>
          </w:p>
        </w:tc>
      </w:tr>
      <w:tr w:rsidR="00A54612" w:rsidRPr="00A54612" w14:paraId="000A9910" w14:textId="77777777" w:rsidTr="00172AED">
        <w:trPr>
          <w:jc w:val="center"/>
        </w:trPr>
        <w:tc>
          <w:tcPr>
            <w:tcW w:w="0" w:type="auto"/>
            <w:shd w:val="clear" w:color="auto" w:fill="auto"/>
            <w:vAlign w:val="center"/>
          </w:tcPr>
          <w:p w14:paraId="0B2FFFAB" w14:textId="77777777" w:rsidR="00A54612" w:rsidRPr="00A54612" w:rsidRDefault="00A54612" w:rsidP="00A54612">
            <w:pPr>
              <w:tabs>
                <w:tab w:val="clear" w:pos="1189"/>
              </w:tabs>
              <w:spacing w:after="0" w:line="240" w:lineRule="auto"/>
              <w:ind w:right="0"/>
              <w:jc w:val="center"/>
              <w:rPr>
                <w:rFonts w:eastAsia="Calibri"/>
                <w:sz w:val="20"/>
                <w:szCs w:val="20"/>
                <w:lang w:val="en-GB"/>
              </w:rPr>
            </w:pPr>
            <w:r w:rsidRPr="00A54612">
              <w:rPr>
                <w:rFonts w:eastAsia="Cambria"/>
                <w:sz w:val="20"/>
                <w:szCs w:val="20"/>
                <w:lang w:val="en-US"/>
              </w:rPr>
              <w:t xml:space="preserve">1,118 – </w:t>
            </w:r>
            <w:bookmarkStart w:id="38" w:name="_Hlk130916170"/>
            <w:r w:rsidRPr="00A54612">
              <w:rPr>
                <w:rFonts w:eastAsia="Cambria"/>
                <w:sz w:val="20"/>
                <w:szCs w:val="20"/>
                <w:lang w:val="en-US"/>
              </w:rPr>
              <w:t xml:space="preserve">1,15 </w:t>
            </w:r>
            <w:proofErr w:type="spellStart"/>
            <w:r w:rsidRPr="00A54612">
              <w:rPr>
                <w:rFonts w:eastAsia="Cambria"/>
                <w:sz w:val="20"/>
                <w:szCs w:val="20"/>
                <w:lang w:val="en-US"/>
              </w:rPr>
              <w:t>p.u</w:t>
            </w:r>
            <w:proofErr w:type="spellEnd"/>
            <w:r w:rsidRPr="00A54612">
              <w:rPr>
                <w:rFonts w:eastAsia="Cambria"/>
                <w:sz w:val="20"/>
                <w:szCs w:val="20"/>
                <w:lang w:val="en-US"/>
              </w:rPr>
              <w:t>.</w:t>
            </w:r>
            <w:bookmarkEnd w:id="38"/>
          </w:p>
        </w:tc>
        <w:tc>
          <w:tcPr>
            <w:tcW w:w="2034" w:type="dxa"/>
            <w:vAlign w:val="center"/>
          </w:tcPr>
          <w:p w14:paraId="4B6FEAE8"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167,7 – 172,5 kV</w:t>
            </w:r>
          </w:p>
        </w:tc>
        <w:tc>
          <w:tcPr>
            <w:tcW w:w="2034" w:type="dxa"/>
            <w:shd w:val="clear" w:color="auto" w:fill="auto"/>
            <w:vAlign w:val="center"/>
          </w:tcPr>
          <w:p w14:paraId="1F93B16E"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60 minutes</w:t>
            </w:r>
          </w:p>
        </w:tc>
      </w:tr>
    </w:tbl>
    <w:p w14:paraId="319EB4F5" w14:textId="77777777" w:rsidR="00A54612" w:rsidRPr="00A54612" w:rsidRDefault="00A54612" w:rsidP="00A54612">
      <w:pPr>
        <w:widowControl/>
        <w:tabs>
          <w:tab w:val="clear" w:pos="1189"/>
        </w:tabs>
        <w:autoSpaceDE/>
        <w:autoSpaceDN/>
        <w:spacing w:after="120" w:line="240" w:lineRule="auto"/>
        <w:ind w:left="720" w:right="0" w:hanging="720"/>
        <w:rPr>
          <w:rFonts w:eastAsia="Calibri"/>
          <w:szCs w:val="20"/>
          <w:lang w:val="en-GB"/>
        </w:rPr>
      </w:pPr>
    </w:p>
    <w:p w14:paraId="3090F30C"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39" w:name="_Ref124253198"/>
      <w:r w:rsidRPr="00A54612">
        <w:rPr>
          <w:rFonts w:eastAsia="Calibri"/>
          <w:b/>
          <w:bCs/>
          <w:i/>
          <w:iCs/>
          <w:sz w:val="20"/>
          <w:szCs w:val="20"/>
          <w:lang w:val="en"/>
        </w:rPr>
        <w:lastRenderedPageBreak/>
        <w:t xml:space="preserve">Table </w:t>
      </w:r>
      <w:bookmarkEnd w:id="39"/>
      <w:r w:rsidRPr="00A54612">
        <w:rPr>
          <w:rFonts w:eastAsia="Calibri"/>
          <w:b/>
          <w:bCs/>
          <w:i/>
          <w:iCs/>
          <w:sz w:val="20"/>
          <w:szCs w:val="20"/>
          <w:lang w:val="en"/>
        </w:rPr>
        <w:t xml:space="preserve">3: Minimum time periods during which an ESM must be capable of operating without disconnecting from the HETS for phase-to-phase voltages deviating from the reference value at the CP, voltage values are in </w:t>
      </w:r>
      <w:proofErr w:type="spellStart"/>
      <w:r w:rsidRPr="00A54612">
        <w:rPr>
          <w:rFonts w:eastAsia="Calibri"/>
          <w:b/>
          <w:bCs/>
          <w:i/>
          <w:iCs/>
          <w:sz w:val="20"/>
          <w:szCs w:val="20"/>
          <w:lang w:val="en"/>
        </w:rPr>
        <w:t>p.u</w:t>
      </w:r>
      <w:proofErr w:type="spellEnd"/>
      <w:r w:rsidRPr="00A54612">
        <w:rPr>
          <w:rFonts w:eastAsia="Calibri"/>
          <w:b/>
          <w:bCs/>
          <w:i/>
          <w:iCs/>
          <w:sz w:val="20"/>
          <w:szCs w:val="20"/>
          <w:lang w:val="en"/>
        </w:rPr>
        <w:t xml:space="preserve">. on 400 kV </w:t>
      </w:r>
      <w:proofErr w:type="gramStart"/>
      <w:r w:rsidRPr="00A54612">
        <w:rPr>
          <w:rFonts w:eastAsia="Calibri"/>
          <w:b/>
          <w:bCs/>
          <w:i/>
          <w:iCs/>
          <w:sz w:val="20"/>
          <w:szCs w:val="20"/>
          <w:lang w:val="en"/>
        </w:rPr>
        <w:t>base</w:t>
      </w:r>
      <w:proofErr w:type="gramEnd"/>
    </w:p>
    <w:tbl>
      <w:tblPr>
        <w:tblStyle w:val="af3"/>
        <w:tblW w:w="0" w:type="auto"/>
        <w:jc w:val="center"/>
        <w:tblLook w:val="04A0" w:firstRow="1" w:lastRow="0" w:firstColumn="1" w:lastColumn="0" w:noHBand="0" w:noVBand="1"/>
      </w:tblPr>
      <w:tblGrid>
        <w:gridCol w:w="1687"/>
        <w:gridCol w:w="2034"/>
        <w:gridCol w:w="2034"/>
      </w:tblGrid>
      <w:tr w:rsidR="00A54612" w:rsidRPr="00A54612" w14:paraId="73E3FE9A" w14:textId="77777777" w:rsidTr="00172AED">
        <w:trPr>
          <w:jc w:val="center"/>
        </w:trPr>
        <w:tc>
          <w:tcPr>
            <w:tcW w:w="0" w:type="auto"/>
            <w:shd w:val="clear" w:color="auto" w:fill="auto"/>
            <w:vAlign w:val="center"/>
          </w:tcPr>
          <w:p w14:paraId="43C8E4E2"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US"/>
              </w:rPr>
            </w:pPr>
            <w:r w:rsidRPr="00A54612">
              <w:rPr>
                <w:rFonts w:eastAsia="Calibri"/>
                <w:b/>
                <w:bCs/>
                <w:sz w:val="20"/>
                <w:szCs w:val="20"/>
                <w:lang w:val="en-US"/>
              </w:rPr>
              <w:t>Voltage range</w:t>
            </w:r>
          </w:p>
          <w:p w14:paraId="0D017D8F"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GB"/>
              </w:rPr>
            </w:pPr>
            <w:r w:rsidRPr="00A54612">
              <w:rPr>
                <w:rFonts w:eastAsia="Calibri"/>
                <w:b/>
                <w:bCs/>
                <w:sz w:val="20"/>
                <w:szCs w:val="20"/>
                <w:lang w:val="en-US"/>
              </w:rPr>
              <w:t xml:space="preserve">In </w:t>
            </w:r>
            <w:proofErr w:type="spellStart"/>
            <w:r w:rsidRPr="00A54612">
              <w:rPr>
                <w:rFonts w:eastAsia="Calibri"/>
                <w:b/>
                <w:bCs/>
                <w:sz w:val="20"/>
                <w:szCs w:val="20"/>
                <w:lang w:val="en-US"/>
              </w:rPr>
              <w:t>p.u</w:t>
            </w:r>
            <w:proofErr w:type="spellEnd"/>
            <w:r w:rsidRPr="00A54612">
              <w:rPr>
                <w:rFonts w:eastAsia="Calibri"/>
                <w:b/>
                <w:bCs/>
                <w:sz w:val="20"/>
                <w:szCs w:val="20"/>
                <w:lang w:val="en-US"/>
              </w:rPr>
              <w:t>.</w:t>
            </w:r>
          </w:p>
        </w:tc>
        <w:tc>
          <w:tcPr>
            <w:tcW w:w="2034" w:type="dxa"/>
            <w:vAlign w:val="center"/>
          </w:tcPr>
          <w:p w14:paraId="0D3A870E"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US"/>
              </w:rPr>
            </w:pPr>
            <w:r w:rsidRPr="00A54612">
              <w:rPr>
                <w:rFonts w:eastAsia="Calibri"/>
                <w:b/>
                <w:bCs/>
                <w:sz w:val="20"/>
                <w:szCs w:val="20"/>
                <w:lang w:val="en-US"/>
              </w:rPr>
              <w:t>Voltage range</w:t>
            </w:r>
          </w:p>
          <w:p w14:paraId="195BEF18" w14:textId="77777777" w:rsidR="00A54612" w:rsidRPr="00A54612" w:rsidRDefault="00A54612" w:rsidP="00A54612">
            <w:pPr>
              <w:tabs>
                <w:tab w:val="clear" w:pos="1189"/>
              </w:tabs>
              <w:spacing w:before="60" w:line="240" w:lineRule="auto"/>
              <w:ind w:left="67" w:right="0"/>
              <w:jc w:val="center"/>
              <w:rPr>
                <w:rFonts w:eastAsia="Cambria"/>
                <w:b/>
                <w:bCs/>
                <w:sz w:val="20"/>
                <w:szCs w:val="20"/>
                <w:lang w:val="en-US"/>
              </w:rPr>
            </w:pPr>
            <w:r w:rsidRPr="00A54612">
              <w:rPr>
                <w:rFonts w:eastAsia="Calibri"/>
                <w:b/>
                <w:bCs/>
                <w:sz w:val="20"/>
                <w:szCs w:val="20"/>
                <w:lang w:val="en-US"/>
              </w:rPr>
              <w:t xml:space="preserve">In kV </w:t>
            </w:r>
          </w:p>
        </w:tc>
        <w:tc>
          <w:tcPr>
            <w:tcW w:w="2034" w:type="dxa"/>
            <w:shd w:val="clear" w:color="auto" w:fill="auto"/>
            <w:vAlign w:val="center"/>
          </w:tcPr>
          <w:p w14:paraId="76F0185F" w14:textId="77777777" w:rsidR="00A54612" w:rsidRPr="00A54612" w:rsidRDefault="00A54612" w:rsidP="00A54612">
            <w:pPr>
              <w:tabs>
                <w:tab w:val="clear" w:pos="1189"/>
              </w:tabs>
              <w:spacing w:before="60" w:line="240" w:lineRule="auto"/>
              <w:ind w:left="67" w:right="0"/>
              <w:jc w:val="center"/>
              <w:rPr>
                <w:rFonts w:eastAsia="Cambria"/>
                <w:b/>
                <w:bCs/>
                <w:sz w:val="20"/>
                <w:szCs w:val="20"/>
                <w:lang w:val="en-US"/>
              </w:rPr>
            </w:pPr>
            <w:r w:rsidRPr="00A54612">
              <w:rPr>
                <w:rFonts w:eastAsia="Cambria"/>
                <w:b/>
                <w:bCs/>
                <w:sz w:val="20"/>
                <w:szCs w:val="20"/>
                <w:lang w:val="en-US"/>
              </w:rPr>
              <w:t>Minimum duration of operation</w:t>
            </w:r>
          </w:p>
        </w:tc>
      </w:tr>
      <w:tr w:rsidR="00A54612" w:rsidRPr="00A54612" w14:paraId="6BC67FE6" w14:textId="77777777" w:rsidTr="00172AED">
        <w:trPr>
          <w:jc w:val="center"/>
        </w:trPr>
        <w:tc>
          <w:tcPr>
            <w:tcW w:w="0" w:type="auto"/>
            <w:shd w:val="clear" w:color="auto" w:fill="auto"/>
            <w:vAlign w:val="center"/>
          </w:tcPr>
          <w:p w14:paraId="0CAB5129"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 xml:space="preserve">0,85– 0,90 </w:t>
            </w:r>
            <w:proofErr w:type="spellStart"/>
            <w:r w:rsidRPr="00A54612">
              <w:rPr>
                <w:rFonts w:eastAsia="Cambria"/>
                <w:sz w:val="20"/>
                <w:szCs w:val="20"/>
                <w:lang w:val="en-US"/>
              </w:rPr>
              <w:t>p.u</w:t>
            </w:r>
            <w:proofErr w:type="spellEnd"/>
            <w:r w:rsidRPr="00A54612">
              <w:rPr>
                <w:rFonts w:eastAsia="Cambria"/>
                <w:sz w:val="20"/>
                <w:szCs w:val="20"/>
                <w:lang w:val="en-US"/>
              </w:rPr>
              <w:t>.</w:t>
            </w:r>
          </w:p>
        </w:tc>
        <w:tc>
          <w:tcPr>
            <w:tcW w:w="2034" w:type="dxa"/>
          </w:tcPr>
          <w:p w14:paraId="23554513"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340 – 360 kV</w:t>
            </w:r>
          </w:p>
        </w:tc>
        <w:tc>
          <w:tcPr>
            <w:tcW w:w="2034" w:type="dxa"/>
            <w:shd w:val="clear" w:color="auto" w:fill="auto"/>
            <w:vAlign w:val="center"/>
          </w:tcPr>
          <w:p w14:paraId="19479FB4"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60 minutes</w:t>
            </w:r>
          </w:p>
        </w:tc>
      </w:tr>
      <w:tr w:rsidR="00A54612" w:rsidRPr="00A54612" w14:paraId="398BFE0E" w14:textId="77777777" w:rsidTr="00172AED">
        <w:trPr>
          <w:jc w:val="center"/>
        </w:trPr>
        <w:tc>
          <w:tcPr>
            <w:tcW w:w="0" w:type="auto"/>
            <w:shd w:val="clear" w:color="auto" w:fill="auto"/>
            <w:vAlign w:val="center"/>
          </w:tcPr>
          <w:p w14:paraId="39258DA5"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 xml:space="preserve">0,90– 1,05 </w:t>
            </w:r>
            <w:proofErr w:type="spellStart"/>
            <w:r w:rsidRPr="00A54612">
              <w:rPr>
                <w:rFonts w:eastAsia="Cambria"/>
                <w:sz w:val="20"/>
                <w:szCs w:val="20"/>
                <w:lang w:val="en-US"/>
              </w:rPr>
              <w:t>p.u</w:t>
            </w:r>
            <w:proofErr w:type="spellEnd"/>
            <w:r w:rsidRPr="00A54612">
              <w:rPr>
                <w:rFonts w:eastAsia="Cambria"/>
                <w:sz w:val="20"/>
                <w:szCs w:val="20"/>
                <w:lang w:val="en-US"/>
              </w:rPr>
              <w:t>.</w:t>
            </w:r>
          </w:p>
        </w:tc>
        <w:tc>
          <w:tcPr>
            <w:tcW w:w="2034" w:type="dxa"/>
          </w:tcPr>
          <w:p w14:paraId="70B7CCC7"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360 – 420 kV</w:t>
            </w:r>
          </w:p>
        </w:tc>
        <w:tc>
          <w:tcPr>
            <w:tcW w:w="2034" w:type="dxa"/>
            <w:shd w:val="clear" w:color="auto" w:fill="auto"/>
            <w:vAlign w:val="center"/>
          </w:tcPr>
          <w:p w14:paraId="5637E654"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unlimited</w:t>
            </w:r>
          </w:p>
        </w:tc>
      </w:tr>
      <w:tr w:rsidR="00A54612" w:rsidRPr="00A54612" w14:paraId="55523684" w14:textId="77777777" w:rsidTr="00172AED">
        <w:trPr>
          <w:jc w:val="center"/>
        </w:trPr>
        <w:tc>
          <w:tcPr>
            <w:tcW w:w="0" w:type="auto"/>
            <w:shd w:val="clear" w:color="auto" w:fill="auto"/>
            <w:vAlign w:val="center"/>
          </w:tcPr>
          <w:p w14:paraId="4A9E3B3F"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 xml:space="preserve">1,05– 1,10 </w:t>
            </w:r>
            <w:proofErr w:type="spellStart"/>
            <w:r w:rsidRPr="00A54612">
              <w:rPr>
                <w:rFonts w:eastAsia="Cambria"/>
                <w:sz w:val="20"/>
                <w:szCs w:val="20"/>
                <w:lang w:val="en-US"/>
              </w:rPr>
              <w:t>p.u</w:t>
            </w:r>
            <w:proofErr w:type="spellEnd"/>
            <w:r w:rsidRPr="00A54612">
              <w:rPr>
                <w:rFonts w:eastAsia="Cambria"/>
                <w:sz w:val="20"/>
                <w:szCs w:val="20"/>
                <w:lang w:val="en-US"/>
              </w:rPr>
              <w:t>.</w:t>
            </w:r>
          </w:p>
        </w:tc>
        <w:tc>
          <w:tcPr>
            <w:tcW w:w="2034" w:type="dxa"/>
          </w:tcPr>
          <w:p w14:paraId="3353C9C3"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420 – 440 kV</w:t>
            </w:r>
          </w:p>
        </w:tc>
        <w:tc>
          <w:tcPr>
            <w:tcW w:w="2034" w:type="dxa"/>
            <w:shd w:val="clear" w:color="auto" w:fill="auto"/>
            <w:vAlign w:val="center"/>
          </w:tcPr>
          <w:p w14:paraId="30700A91" w14:textId="77777777" w:rsidR="00A54612" w:rsidRPr="00A54612" w:rsidRDefault="00A54612" w:rsidP="00A54612">
            <w:pPr>
              <w:tabs>
                <w:tab w:val="clear" w:pos="1189"/>
              </w:tabs>
              <w:spacing w:after="0" w:line="240" w:lineRule="auto"/>
              <w:ind w:right="0"/>
              <w:jc w:val="center"/>
              <w:rPr>
                <w:rFonts w:eastAsia="Cambria"/>
                <w:sz w:val="20"/>
                <w:szCs w:val="20"/>
                <w:lang w:val="en-US"/>
              </w:rPr>
            </w:pPr>
            <w:r w:rsidRPr="00A54612">
              <w:rPr>
                <w:rFonts w:eastAsia="Cambria"/>
                <w:sz w:val="20"/>
                <w:szCs w:val="20"/>
                <w:lang w:val="en-US"/>
              </w:rPr>
              <w:t>60 minutes</w:t>
            </w:r>
          </w:p>
        </w:tc>
      </w:tr>
    </w:tbl>
    <w:p w14:paraId="4E0237A0"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p>
    <w:p w14:paraId="461CCE84"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p>
    <w:p w14:paraId="5A2B6C2D" w14:textId="40E91A1F" w:rsidR="00A54612" w:rsidRPr="00A54612" w:rsidRDefault="007A3E7A" w:rsidP="00A54612">
      <w:pPr>
        <w:keepNext/>
        <w:keepLines/>
        <w:widowControl/>
        <w:numPr>
          <w:ilvl w:val="1"/>
          <w:numId w:val="0"/>
        </w:numPr>
        <w:tabs>
          <w:tab w:val="clear" w:pos="1189"/>
        </w:tabs>
        <w:autoSpaceDE/>
        <w:autoSpaceDN/>
        <w:spacing w:before="360" w:after="360" w:line="240" w:lineRule="auto"/>
        <w:ind w:left="578" w:right="0" w:hanging="578"/>
        <w:jc w:val="left"/>
        <w:outlineLvl w:val="1"/>
        <w:rPr>
          <w:b/>
          <w:sz w:val="28"/>
          <w:szCs w:val="28"/>
          <w:lang w:val="en-US"/>
        </w:rPr>
      </w:pPr>
      <w:bookmarkStart w:id="40" w:name="_Toc137323482"/>
      <w:r w:rsidRPr="007A3E7A">
        <w:rPr>
          <w:b/>
          <w:sz w:val="28"/>
          <w:szCs w:val="28"/>
          <w:lang w:val="en-US"/>
        </w:rPr>
        <w:t xml:space="preserve">2.3 </w:t>
      </w:r>
      <w:r w:rsidR="00A54612" w:rsidRPr="00A54612">
        <w:rPr>
          <w:b/>
          <w:sz w:val="28"/>
          <w:szCs w:val="28"/>
          <w:lang w:val="en-US"/>
        </w:rPr>
        <w:t>Steady state frequency and voltage operating limits</w:t>
      </w:r>
      <w:bookmarkEnd w:id="40"/>
    </w:p>
    <w:p w14:paraId="4EE1EC76" w14:textId="7916EAC7" w:rsidR="00A54612" w:rsidRPr="00A54612" w:rsidRDefault="00A54612" w:rsidP="00A54612">
      <w:pPr>
        <w:widowControl/>
        <w:tabs>
          <w:tab w:val="clear" w:pos="1189"/>
        </w:tabs>
        <w:autoSpaceDE/>
        <w:autoSpaceDN/>
        <w:spacing w:after="120" w:line="240" w:lineRule="auto"/>
        <w:ind w:right="0"/>
        <w:rPr>
          <w:rFonts w:eastAsia="Calibri"/>
          <w:szCs w:val="20"/>
          <w:lang w:val="en-US"/>
        </w:rPr>
      </w:pPr>
      <w:r w:rsidRPr="00A54612">
        <w:rPr>
          <w:rFonts w:eastAsia="Calibri"/>
          <w:szCs w:val="20"/>
          <w:lang w:val="en-US"/>
        </w:rPr>
        <w:t xml:space="preserve">All ESMs shall stay connected to the HETS and continue to operate stably under frequency and voltage deviations from the nominal values within the specific ranges and for the relevant minimum operating time periods specified by the frequency-voltage diagrams of </w:t>
      </w:r>
      <w:r w:rsidRPr="00A54612">
        <w:rPr>
          <w:rFonts w:eastAsia="Calibri"/>
          <w:szCs w:val="20"/>
          <w:lang w:val="en-US"/>
        </w:rPr>
        <w:fldChar w:fldCharType="begin"/>
      </w:r>
      <w:r w:rsidRPr="00A54612">
        <w:rPr>
          <w:rFonts w:eastAsia="Calibri"/>
          <w:szCs w:val="20"/>
          <w:lang w:val="en-US"/>
        </w:rPr>
        <w:instrText xml:space="preserve"> REF _Ref124755437 \h  \* MERGEFORMAT </w:instrText>
      </w:r>
      <w:r w:rsidRPr="00A54612">
        <w:rPr>
          <w:rFonts w:eastAsia="Calibri"/>
          <w:szCs w:val="20"/>
          <w:lang w:val="en-US"/>
        </w:rPr>
      </w:r>
      <w:r w:rsidRPr="00A54612">
        <w:rPr>
          <w:rFonts w:eastAsia="Calibri"/>
          <w:szCs w:val="20"/>
          <w:lang w:val="en-US"/>
        </w:rPr>
        <w:fldChar w:fldCharType="separate"/>
      </w:r>
      <w:r w:rsidR="00464704" w:rsidRPr="00A54612">
        <w:rPr>
          <w:rFonts w:eastAsia="Calibri"/>
          <w:szCs w:val="20"/>
          <w:lang w:val="en-US"/>
        </w:rPr>
        <w:t xml:space="preserve">Figure </w:t>
      </w:r>
      <w:r w:rsidR="00464704" w:rsidRPr="00A54612">
        <w:rPr>
          <w:rFonts w:eastAsia="Calibri"/>
          <w:b/>
          <w:bCs/>
          <w:i/>
          <w:iCs/>
          <w:sz w:val="20"/>
          <w:szCs w:val="20"/>
          <w:lang w:val="en"/>
        </w:rPr>
        <w:t>1</w:t>
      </w:r>
      <w:r w:rsidRPr="00A54612">
        <w:rPr>
          <w:rFonts w:eastAsia="Calibri"/>
          <w:szCs w:val="20"/>
          <w:lang w:val="en-US"/>
        </w:rPr>
        <w:fldChar w:fldCharType="end"/>
      </w:r>
      <w:r w:rsidRPr="00A54612">
        <w:rPr>
          <w:rFonts w:eastAsia="Calibri"/>
          <w:szCs w:val="20"/>
          <w:lang w:val="en-US"/>
        </w:rPr>
        <w:t xml:space="preserve">1 (CP at 150kV) and </w:t>
      </w:r>
      <w:r w:rsidRPr="00A54612">
        <w:rPr>
          <w:rFonts w:eastAsia="Calibri"/>
          <w:szCs w:val="20"/>
          <w:lang w:val="en-US"/>
        </w:rPr>
        <w:fldChar w:fldCharType="begin"/>
      </w:r>
      <w:r w:rsidRPr="00A54612">
        <w:rPr>
          <w:rFonts w:eastAsia="Calibri"/>
          <w:szCs w:val="20"/>
          <w:lang w:val="en-US"/>
        </w:rPr>
        <w:instrText xml:space="preserve"> REF _Ref124755446 \h  \* MERGEFORMAT </w:instrText>
      </w:r>
      <w:r w:rsidRPr="00A54612">
        <w:rPr>
          <w:rFonts w:eastAsia="Calibri"/>
          <w:szCs w:val="20"/>
          <w:lang w:val="en-US"/>
        </w:rPr>
      </w:r>
      <w:r w:rsidRPr="00A54612">
        <w:rPr>
          <w:rFonts w:eastAsia="Calibri"/>
          <w:szCs w:val="20"/>
          <w:lang w:val="en-US"/>
        </w:rPr>
        <w:fldChar w:fldCharType="separate"/>
      </w:r>
      <w:r w:rsidR="00464704" w:rsidRPr="00A54612">
        <w:rPr>
          <w:rFonts w:eastAsia="Calibri"/>
          <w:szCs w:val="20"/>
          <w:lang w:val="en-US"/>
        </w:rPr>
        <w:t xml:space="preserve">Figure </w:t>
      </w:r>
      <w:r w:rsidRPr="00A54612">
        <w:rPr>
          <w:rFonts w:eastAsia="Calibri"/>
          <w:szCs w:val="20"/>
          <w:lang w:val="en-US"/>
        </w:rPr>
        <w:fldChar w:fldCharType="end"/>
      </w:r>
      <w:r w:rsidRPr="00A54612">
        <w:rPr>
          <w:rFonts w:eastAsia="Calibri"/>
          <w:szCs w:val="20"/>
          <w:lang w:val="en-US"/>
        </w:rPr>
        <w:t>2 (CP at 400kV).</w:t>
      </w:r>
    </w:p>
    <w:p w14:paraId="4C395D35"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4FB99B23" w14:textId="77777777" w:rsidR="00A54612" w:rsidRPr="00A54612" w:rsidRDefault="00A54612" w:rsidP="00A54612">
      <w:pPr>
        <w:widowControl/>
        <w:tabs>
          <w:tab w:val="clear" w:pos="1189"/>
        </w:tabs>
        <w:autoSpaceDE/>
        <w:autoSpaceDN/>
        <w:spacing w:after="120" w:line="240" w:lineRule="auto"/>
        <w:ind w:left="720" w:right="0" w:hanging="720"/>
        <w:jc w:val="center"/>
        <w:rPr>
          <w:rFonts w:eastAsia="Calibri"/>
          <w:szCs w:val="20"/>
          <w:lang w:val="en-GB"/>
        </w:rPr>
      </w:pPr>
      <w:r w:rsidRPr="00A54612">
        <w:rPr>
          <w:rFonts w:eastAsia="Calibri"/>
          <w:noProof/>
          <w:lang w:val="en-US"/>
        </w:rPr>
        <w:drawing>
          <wp:inline distT="0" distB="0" distL="0" distR="0" wp14:anchorId="79B3F579" wp14:editId="07DD0B43">
            <wp:extent cx="3210958" cy="2638678"/>
            <wp:effectExtent l="0" t="0" r="8890" b="0"/>
            <wp:docPr id="31" name="Picture 31"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Chart, treemap chart&#10;&#10;Description automatically generated"/>
                    <pic:cNvPicPr/>
                  </pic:nvPicPr>
                  <pic:blipFill>
                    <a:blip r:embed="rId35"/>
                    <a:stretch>
                      <a:fillRect/>
                    </a:stretch>
                  </pic:blipFill>
                  <pic:spPr>
                    <a:xfrm>
                      <a:off x="0" y="0"/>
                      <a:ext cx="3240647" cy="2663075"/>
                    </a:xfrm>
                    <a:prstGeom prst="rect">
                      <a:avLst/>
                    </a:prstGeom>
                  </pic:spPr>
                </pic:pic>
              </a:graphicData>
            </a:graphic>
          </wp:inline>
        </w:drawing>
      </w:r>
    </w:p>
    <w:p w14:paraId="1E81623C"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41" w:name="_Ref124755437"/>
      <w:r w:rsidRPr="00A54612">
        <w:rPr>
          <w:rFonts w:eastAsia="Calibri"/>
          <w:b/>
          <w:bCs/>
          <w:i/>
          <w:iCs/>
          <w:sz w:val="20"/>
          <w:szCs w:val="20"/>
          <w:lang w:val="en"/>
        </w:rPr>
        <w:t>Figure 1</w:t>
      </w:r>
      <w:bookmarkEnd w:id="41"/>
      <w:r w:rsidRPr="00A54612">
        <w:rPr>
          <w:rFonts w:eastAsia="Calibri"/>
          <w:b/>
          <w:bCs/>
          <w:i/>
          <w:iCs/>
          <w:sz w:val="20"/>
          <w:szCs w:val="20"/>
          <w:lang w:val="en"/>
        </w:rPr>
        <w:t xml:space="preserve">: Minimum requirements for steady-state operation of PGMs connected at 150 kV, where U is the voltage at the CP (in kV) and f is the system frequency </w:t>
      </w:r>
      <w:bookmarkStart w:id="42" w:name="_Hlk127444188"/>
      <w:r w:rsidRPr="00A54612">
        <w:rPr>
          <w:rFonts w:eastAsia="Calibri"/>
          <w:b/>
          <w:bCs/>
          <w:i/>
          <w:iCs/>
          <w:sz w:val="20"/>
          <w:szCs w:val="20"/>
          <w:lang w:val="en"/>
        </w:rPr>
        <w:t>(in Hz)</w:t>
      </w:r>
      <w:bookmarkEnd w:id="42"/>
    </w:p>
    <w:p w14:paraId="64A26D70" w14:textId="77777777" w:rsidR="00A54612" w:rsidRPr="00A54612" w:rsidRDefault="00A54612" w:rsidP="00A54612">
      <w:pPr>
        <w:keepNext/>
        <w:widowControl/>
        <w:tabs>
          <w:tab w:val="clear" w:pos="1189"/>
        </w:tabs>
        <w:autoSpaceDE/>
        <w:autoSpaceDN/>
        <w:spacing w:after="120" w:line="240" w:lineRule="auto"/>
        <w:ind w:left="720" w:right="0" w:hanging="720"/>
        <w:jc w:val="center"/>
        <w:rPr>
          <w:rFonts w:eastAsia="Calibri"/>
          <w:lang w:val="en-US"/>
        </w:rPr>
      </w:pPr>
    </w:p>
    <w:p w14:paraId="464D5321" w14:textId="77777777" w:rsidR="00A54612" w:rsidRPr="00A54612" w:rsidRDefault="00A54612" w:rsidP="00A54612">
      <w:pPr>
        <w:widowControl/>
        <w:tabs>
          <w:tab w:val="clear" w:pos="1189"/>
        </w:tabs>
        <w:autoSpaceDE/>
        <w:autoSpaceDN/>
        <w:spacing w:after="120" w:line="240" w:lineRule="auto"/>
        <w:ind w:left="720" w:right="0" w:hanging="720"/>
        <w:rPr>
          <w:rFonts w:eastAsia="Calibri"/>
          <w:szCs w:val="20"/>
          <w:lang w:val="en-US"/>
        </w:rPr>
      </w:pPr>
    </w:p>
    <w:p w14:paraId="1F7AF2FB" w14:textId="77777777" w:rsidR="00A54612" w:rsidRPr="00A54612" w:rsidRDefault="00A54612" w:rsidP="00A54612">
      <w:pPr>
        <w:keepNext/>
        <w:widowControl/>
        <w:tabs>
          <w:tab w:val="clear" w:pos="1189"/>
        </w:tabs>
        <w:autoSpaceDE/>
        <w:autoSpaceDN/>
        <w:spacing w:after="120" w:line="240" w:lineRule="auto"/>
        <w:ind w:left="720" w:right="0" w:hanging="720"/>
        <w:jc w:val="center"/>
        <w:rPr>
          <w:rFonts w:eastAsia="Calibri"/>
          <w:lang w:val="en-US"/>
        </w:rPr>
      </w:pPr>
      <w:r w:rsidRPr="00A54612">
        <w:rPr>
          <w:rFonts w:eastAsia="Calibri"/>
          <w:noProof/>
          <w:lang w:val="en-US"/>
        </w:rPr>
        <w:lastRenderedPageBreak/>
        <w:drawing>
          <wp:inline distT="0" distB="0" distL="0" distR="0" wp14:anchorId="4605B6D2" wp14:editId="644379F1">
            <wp:extent cx="3277527" cy="2691441"/>
            <wp:effectExtent l="0" t="0" r="0" b="0"/>
            <wp:docPr id="28" name="Picture 28"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 treemap chart&#10;&#10;Description automatically generated"/>
                    <pic:cNvPicPr/>
                  </pic:nvPicPr>
                  <pic:blipFill>
                    <a:blip r:embed="rId36"/>
                    <a:stretch>
                      <a:fillRect/>
                    </a:stretch>
                  </pic:blipFill>
                  <pic:spPr>
                    <a:xfrm>
                      <a:off x="0" y="0"/>
                      <a:ext cx="3308357" cy="2716758"/>
                    </a:xfrm>
                    <a:prstGeom prst="rect">
                      <a:avLst/>
                    </a:prstGeom>
                  </pic:spPr>
                </pic:pic>
              </a:graphicData>
            </a:graphic>
          </wp:inline>
        </w:drawing>
      </w:r>
    </w:p>
    <w:p w14:paraId="4AC8406E"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43" w:name="_Ref124755446"/>
      <w:r w:rsidRPr="00A54612">
        <w:rPr>
          <w:rFonts w:eastAsia="Calibri"/>
          <w:b/>
          <w:bCs/>
          <w:i/>
          <w:iCs/>
          <w:sz w:val="20"/>
          <w:szCs w:val="20"/>
          <w:lang w:val="en"/>
        </w:rPr>
        <w:t xml:space="preserve">Figure </w:t>
      </w:r>
      <w:bookmarkEnd w:id="43"/>
      <w:r w:rsidRPr="00A54612">
        <w:rPr>
          <w:rFonts w:eastAsia="Calibri"/>
          <w:b/>
          <w:bCs/>
          <w:i/>
          <w:iCs/>
          <w:sz w:val="20"/>
          <w:szCs w:val="20"/>
          <w:lang w:val="en"/>
        </w:rPr>
        <w:t>2: Minimum requirements for steady-state operation of PGMs connected at 400 kV, where U is the voltage at the CP (in kV) and f is the system frequency (in Hz)</w:t>
      </w:r>
    </w:p>
    <w:p w14:paraId="7F5C8D1B" w14:textId="77777777" w:rsidR="00A54612" w:rsidRPr="00A54612" w:rsidRDefault="00A54612" w:rsidP="00A54612">
      <w:pPr>
        <w:widowControl/>
        <w:tabs>
          <w:tab w:val="clear" w:pos="1189"/>
        </w:tabs>
        <w:autoSpaceDE/>
        <w:autoSpaceDN/>
        <w:spacing w:after="120" w:line="240" w:lineRule="auto"/>
        <w:ind w:right="0"/>
        <w:jc w:val="left"/>
        <w:rPr>
          <w:rFonts w:eastAsia="Calibri"/>
          <w:lang w:val="en"/>
        </w:rPr>
      </w:pPr>
    </w:p>
    <w:p w14:paraId="1C9E3A26" w14:textId="4DC4F5E2" w:rsidR="00A54612" w:rsidRPr="00A54612" w:rsidRDefault="007A3E7A" w:rsidP="00A54612">
      <w:pPr>
        <w:keepNext/>
        <w:keepLines/>
        <w:widowControl/>
        <w:numPr>
          <w:ilvl w:val="1"/>
          <w:numId w:val="0"/>
        </w:numPr>
        <w:tabs>
          <w:tab w:val="clear" w:pos="1189"/>
        </w:tabs>
        <w:autoSpaceDE/>
        <w:autoSpaceDN/>
        <w:spacing w:before="360" w:after="360" w:line="240" w:lineRule="auto"/>
        <w:ind w:left="578" w:right="0" w:hanging="578"/>
        <w:jc w:val="left"/>
        <w:outlineLvl w:val="1"/>
        <w:rPr>
          <w:b/>
          <w:sz w:val="28"/>
          <w:szCs w:val="28"/>
          <w:lang w:val="en-US"/>
        </w:rPr>
      </w:pPr>
      <w:bookmarkStart w:id="44" w:name="_Ref126856144"/>
      <w:bookmarkStart w:id="45" w:name="_Toc137323483"/>
      <w:r w:rsidRPr="007A3E7A">
        <w:rPr>
          <w:b/>
          <w:sz w:val="28"/>
          <w:szCs w:val="28"/>
          <w:lang w:val="en-US"/>
        </w:rPr>
        <w:t xml:space="preserve">2.4 </w:t>
      </w:r>
      <w:r w:rsidR="00A54612" w:rsidRPr="00A54612">
        <w:rPr>
          <w:b/>
          <w:sz w:val="28"/>
          <w:szCs w:val="28"/>
          <w:lang w:val="en-US"/>
        </w:rPr>
        <w:t>Rate of Change of Frequency (</w:t>
      </w:r>
      <w:proofErr w:type="spellStart"/>
      <w:r w:rsidR="00A54612" w:rsidRPr="00A54612">
        <w:rPr>
          <w:b/>
          <w:sz w:val="28"/>
          <w:szCs w:val="28"/>
          <w:lang w:val="en-US"/>
        </w:rPr>
        <w:t>RoCoF</w:t>
      </w:r>
      <w:proofErr w:type="spellEnd"/>
      <w:r w:rsidR="00A54612" w:rsidRPr="00A54612">
        <w:rPr>
          <w:b/>
          <w:sz w:val="28"/>
          <w:szCs w:val="28"/>
          <w:lang w:val="en-US"/>
        </w:rPr>
        <w:t xml:space="preserve">) withstand </w:t>
      </w:r>
      <w:proofErr w:type="gramStart"/>
      <w:r w:rsidR="00A54612" w:rsidRPr="00A54612">
        <w:rPr>
          <w:b/>
          <w:sz w:val="28"/>
          <w:szCs w:val="28"/>
          <w:lang w:val="en-US"/>
        </w:rPr>
        <w:t>capability</w:t>
      </w:r>
      <w:bookmarkEnd w:id="44"/>
      <w:bookmarkEnd w:id="45"/>
      <w:proofErr w:type="gramEnd"/>
    </w:p>
    <w:p w14:paraId="7D2988A9"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r w:rsidRPr="00A54612">
        <w:rPr>
          <w:rFonts w:eastAsia="Calibri"/>
          <w:szCs w:val="20"/>
          <w:lang w:val="en-US"/>
        </w:rPr>
        <w:t>The ESM shall be capable of staying connected to the HETS and operate for rates of change of system frequency (</w:t>
      </w:r>
      <w:proofErr w:type="spellStart"/>
      <w:r w:rsidRPr="00A54612">
        <w:rPr>
          <w:rFonts w:eastAsia="Calibri"/>
          <w:szCs w:val="20"/>
          <w:lang w:val="en-US"/>
        </w:rPr>
        <w:t>RoCoF</w:t>
      </w:r>
      <w:proofErr w:type="spellEnd"/>
      <w:r w:rsidRPr="00A54612">
        <w:rPr>
          <w:rFonts w:eastAsia="Calibri"/>
          <w:szCs w:val="20"/>
          <w:lang w:val="en-US"/>
        </w:rPr>
        <w:t xml:space="preserve">) up to 2,0 Hz/sec observed in a sliding window of 500 msec. </w:t>
      </w:r>
    </w:p>
    <w:p w14:paraId="3D6CB8D3" w14:textId="356BC8DD" w:rsidR="00A54612" w:rsidRPr="00A54612" w:rsidRDefault="007A3E7A" w:rsidP="00A54612">
      <w:pPr>
        <w:keepNext/>
        <w:keepLines/>
        <w:widowControl/>
        <w:numPr>
          <w:ilvl w:val="1"/>
          <w:numId w:val="0"/>
        </w:numPr>
        <w:tabs>
          <w:tab w:val="clear" w:pos="1189"/>
        </w:tabs>
        <w:autoSpaceDE/>
        <w:autoSpaceDN/>
        <w:spacing w:before="360" w:after="360" w:line="240" w:lineRule="auto"/>
        <w:ind w:left="578" w:right="0" w:hanging="578"/>
        <w:jc w:val="left"/>
        <w:outlineLvl w:val="1"/>
        <w:rPr>
          <w:b/>
          <w:sz w:val="28"/>
          <w:szCs w:val="28"/>
          <w:lang w:val="en-US"/>
        </w:rPr>
      </w:pPr>
      <w:bookmarkStart w:id="46" w:name="_Toc137323484"/>
      <w:r w:rsidRPr="00214E69">
        <w:rPr>
          <w:b/>
          <w:sz w:val="28"/>
          <w:szCs w:val="28"/>
          <w:lang w:val="en-US"/>
        </w:rPr>
        <w:t xml:space="preserve">2.5 </w:t>
      </w:r>
      <w:r w:rsidR="00A54612" w:rsidRPr="00A54612">
        <w:rPr>
          <w:b/>
          <w:sz w:val="28"/>
          <w:szCs w:val="28"/>
          <w:lang w:val="en-US"/>
        </w:rPr>
        <w:t>Loss of Mains (</w:t>
      </w:r>
      <w:proofErr w:type="spellStart"/>
      <w:r w:rsidR="00A54612" w:rsidRPr="00A54612">
        <w:rPr>
          <w:b/>
          <w:sz w:val="28"/>
          <w:szCs w:val="28"/>
          <w:lang w:val="en-US"/>
        </w:rPr>
        <w:t>LoM</w:t>
      </w:r>
      <w:proofErr w:type="spellEnd"/>
      <w:r w:rsidR="00A54612" w:rsidRPr="00A54612">
        <w:rPr>
          <w:b/>
          <w:sz w:val="28"/>
          <w:szCs w:val="28"/>
          <w:lang w:val="en-US"/>
        </w:rPr>
        <w:t>) detection</w:t>
      </w:r>
      <w:bookmarkEnd w:id="46"/>
    </w:p>
    <w:p w14:paraId="0EFB5331"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r w:rsidRPr="00A54612">
        <w:rPr>
          <w:rFonts w:eastAsia="Calibri"/>
          <w:szCs w:val="20"/>
          <w:lang w:val="en-US"/>
        </w:rPr>
        <w:t xml:space="preserve">The use of </w:t>
      </w:r>
      <w:proofErr w:type="spellStart"/>
      <w:r w:rsidRPr="00A54612">
        <w:rPr>
          <w:rFonts w:eastAsia="Calibri"/>
          <w:szCs w:val="20"/>
          <w:lang w:val="en-US"/>
        </w:rPr>
        <w:t>LoM</w:t>
      </w:r>
      <w:proofErr w:type="spellEnd"/>
      <w:r w:rsidRPr="00A54612">
        <w:rPr>
          <w:rFonts w:eastAsia="Calibri"/>
          <w:szCs w:val="20"/>
          <w:lang w:val="en-US"/>
        </w:rPr>
        <w:t xml:space="preserve"> detection based on </w:t>
      </w:r>
      <w:proofErr w:type="spellStart"/>
      <w:r w:rsidRPr="00A54612">
        <w:rPr>
          <w:rFonts w:eastAsia="Calibri"/>
          <w:szCs w:val="20"/>
          <w:lang w:val="en-US"/>
        </w:rPr>
        <w:t>RoCoF</w:t>
      </w:r>
      <w:proofErr w:type="spellEnd"/>
      <w:r w:rsidRPr="00A54612">
        <w:rPr>
          <w:rFonts w:eastAsia="Calibri"/>
          <w:szCs w:val="20"/>
          <w:lang w:val="en-US"/>
        </w:rPr>
        <w:t xml:space="preserve"> measurement is not allowed for ESMs connected to the HETS. </w:t>
      </w:r>
      <w:bookmarkStart w:id="47" w:name="_Hlk130893136"/>
      <w:r w:rsidRPr="00A54612">
        <w:rPr>
          <w:rFonts w:eastAsia="Calibri"/>
          <w:szCs w:val="20"/>
          <w:lang w:val="en-US"/>
        </w:rPr>
        <w:t xml:space="preserve">The ESM owner shall provide technical details on the method for </w:t>
      </w:r>
      <w:proofErr w:type="spellStart"/>
      <w:r w:rsidRPr="00A54612">
        <w:rPr>
          <w:rFonts w:eastAsia="Calibri"/>
          <w:szCs w:val="20"/>
          <w:lang w:val="en-US"/>
        </w:rPr>
        <w:t>LoM</w:t>
      </w:r>
      <w:proofErr w:type="spellEnd"/>
      <w:r w:rsidRPr="00A54612">
        <w:rPr>
          <w:rFonts w:eastAsia="Calibri"/>
          <w:szCs w:val="20"/>
          <w:lang w:val="en-US"/>
        </w:rPr>
        <w:t xml:space="preserve"> detection being used.</w:t>
      </w:r>
      <w:bookmarkEnd w:id="47"/>
      <w:r w:rsidRPr="00A54612">
        <w:rPr>
          <w:rFonts w:eastAsia="Calibri"/>
          <w:szCs w:val="20"/>
          <w:lang w:val="en-US"/>
        </w:rPr>
        <w:t xml:space="preserve"> Any </w:t>
      </w:r>
      <w:proofErr w:type="spellStart"/>
      <w:r w:rsidRPr="00A54612">
        <w:rPr>
          <w:rFonts w:eastAsia="Calibri"/>
          <w:szCs w:val="20"/>
          <w:lang w:val="en-US"/>
        </w:rPr>
        <w:t>LoM</w:t>
      </w:r>
      <w:proofErr w:type="spellEnd"/>
      <w:r w:rsidRPr="00A54612">
        <w:rPr>
          <w:rFonts w:eastAsia="Calibri"/>
          <w:szCs w:val="20"/>
          <w:lang w:val="en-US"/>
        </w:rPr>
        <w:t xml:space="preserve"> detection methods and their relevant protection settings should not contradict with the requirements on frequency withstand capabilities. </w:t>
      </w:r>
    </w:p>
    <w:p w14:paraId="5AB33ECA"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297CA9DE" w14:textId="360506AD" w:rsidR="00A54612" w:rsidRPr="00A54612" w:rsidRDefault="007A3E7A" w:rsidP="00A54612">
      <w:pPr>
        <w:keepNext/>
        <w:keepLines/>
        <w:widowControl/>
        <w:tabs>
          <w:tab w:val="clear" w:pos="1189"/>
        </w:tabs>
        <w:autoSpaceDE/>
        <w:autoSpaceDN/>
        <w:spacing w:before="240" w:after="240" w:line="240" w:lineRule="auto"/>
        <w:ind w:left="567" w:right="0" w:hanging="567"/>
        <w:jc w:val="left"/>
        <w:outlineLvl w:val="0"/>
        <w:rPr>
          <w:b/>
          <w:sz w:val="32"/>
          <w:szCs w:val="32"/>
          <w:lang w:val="en-US"/>
        </w:rPr>
      </w:pPr>
      <w:r w:rsidRPr="007A3E7A">
        <w:rPr>
          <w:b/>
          <w:sz w:val="32"/>
          <w:szCs w:val="32"/>
          <w:lang w:val="en-US"/>
        </w:rPr>
        <w:t xml:space="preserve">3. </w:t>
      </w:r>
      <w:bookmarkStart w:id="48" w:name="_Toc137323485"/>
      <w:r w:rsidR="00A54612" w:rsidRPr="00A54612">
        <w:rPr>
          <w:b/>
          <w:sz w:val="32"/>
          <w:szCs w:val="32"/>
          <w:lang w:val="en-US"/>
        </w:rPr>
        <w:t>Active Power control Requirements</w:t>
      </w:r>
      <w:bookmarkEnd w:id="48"/>
    </w:p>
    <w:p w14:paraId="2E8D855D"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r w:rsidRPr="00A54612">
        <w:rPr>
          <w:rFonts w:eastAsia="Calibri"/>
          <w:szCs w:val="20"/>
          <w:lang w:val="en-US"/>
        </w:rPr>
        <w:t xml:space="preserve">Any </w:t>
      </w:r>
      <w:bookmarkStart w:id="49" w:name="_Hlk126857155"/>
      <w:r w:rsidRPr="00A54612">
        <w:rPr>
          <w:rFonts w:eastAsia="Calibri"/>
          <w:szCs w:val="20"/>
          <w:lang w:val="en-US"/>
        </w:rPr>
        <w:t xml:space="preserve">ESM </w:t>
      </w:r>
      <w:bookmarkEnd w:id="49"/>
      <w:r w:rsidRPr="00A54612">
        <w:rPr>
          <w:rFonts w:eastAsia="Calibri"/>
          <w:szCs w:val="20"/>
          <w:lang w:val="en-US"/>
        </w:rPr>
        <w:t xml:space="preserve">connected to the HETS shall be capable of participating in system Frequency Restoration Control (FRC) by adjusting the generated or consumed active power in line with set-points (i.e., active power target values) issued remotely and in real time by IPTO’s National Dispatch Centre (NDC). </w:t>
      </w:r>
    </w:p>
    <w:p w14:paraId="064200DA"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r w:rsidRPr="00A54612">
        <w:rPr>
          <w:rFonts w:eastAsia="Calibri"/>
          <w:szCs w:val="20"/>
          <w:lang w:val="en-US"/>
        </w:rPr>
        <w:t xml:space="preserve">To achieve that, the ESM must be equipped with an active power control system that exchanges signals and information in real time with the NDC and it is capable of automatically </w:t>
      </w:r>
      <w:bookmarkStart w:id="50" w:name="_Hlk127445149"/>
      <w:r w:rsidRPr="00A54612">
        <w:rPr>
          <w:rFonts w:eastAsia="Calibri"/>
          <w:szCs w:val="20"/>
          <w:lang w:val="en-US"/>
        </w:rPr>
        <w:t xml:space="preserve">applying </w:t>
      </w:r>
      <w:bookmarkEnd w:id="50"/>
      <w:r w:rsidRPr="00A54612">
        <w:rPr>
          <w:rFonts w:eastAsia="Calibri"/>
          <w:szCs w:val="20"/>
          <w:lang w:val="en-US"/>
        </w:rPr>
        <w:t xml:space="preserve">set point values. </w:t>
      </w:r>
      <w:bookmarkStart w:id="51" w:name="_Hlk130898272"/>
    </w:p>
    <w:p w14:paraId="2D276A49"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r w:rsidRPr="00A54612">
        <w:rPr>
          <w:rFonts w:eastAsia="Calibri"/>
          <w:szCs w:val="20"/>
          <w:lang w:val="en-US"/>
        </w:rPr>
        <w:t>The ESM shall maintain the set-point values regardless of changes in the frequency unless it operates under any of the frequency control modes described on the relevant chapter.</w:t>
      </w:r>
      <w:bookmarkEnd w:id="51"/>
    </w:p>
    <w:p w14:paraId="5C254A1C"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r w:rsidRPr="00A54612">
        <w:rPr>
          <w:rFonts w:eastAsia="Calibri"/>
          <w:szCs w:val="20"/>
          <w:lang w:val="en-US"/>
        </w:rPr>
        <w:t>The minimum period for the ESM to reach an active power set point is defined as 60s. The set points should be reached with a tolerance of ±5% of the active power set point or ±5MW (whichever is smaller). The above requirement is explained graphically in Figure 3.</w:t>
      </w:r>
    </w:p>
    <w:p w14:paraId="1D98FAFA"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10E10464" w14:textId="77777777" w:rsidR="00A54612" w:rsidRPr="00A54612" w:rsidRDefault="00A54612" w:rsidP="00A54612">
      <w:pPr>
        <w:widowControl/>
        <w:tabs>
          <w:tab w:val="clear" w:pos="1189"/>
        </w:tabs>
        <w:autoSpaceDE/>
        <w:autoSpaceDN/>
        <w:spacing w:after="120" w:line="240" w:lineRule="auto"/>
        <w:ind w:left="720" w:right="0" w:hanging="720"/>
        <w:jc w:val="center"/>
        <w:rPr>
          <w:rFonts w:eastAsia="Calibri"/>
          <w:szCs w:val="20"/>
          <w:lang w:val="en-GB"/>
        </w:rPr>
      </w:pPr>
      <w:r w:rsidRPr="00A54612">
        <w:rPr>
          <w:rFonts w:eastAsia="Calibri"/>
          <w:noProof/>
          <w:lang w:val="en-US"/>
        </w:rPr>
        <w:lastRenderedPageBreak/>
        <w:drawing>
          <wp:inline distT="0" distB="0" distL="0" distR="0" wp14:anchorId="0BAA02B9" wp14:editId="14372377">
            <wp:extent cx="4657143" cy="2876190"/>
            <wp:effectExtent l="0" t="0" r="0" b="63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37"/>
                    <a:stretch>
                      <a:fillRect/>
                    </a:stretch>
                  </pic:blipFill>
                  <pic:spPr>
                    <a:xfrm>
                      <a:off x="0" y="0"/>
                      <a:ext cx="4657143" cy="2876190"/>
                    </a:xfrm>
                    <a:prstGeom prst="rect">
                      <a:avLst/>
                    </a:prstGeom>
                  </pic:spPr>
                </pic:pic>
              </a:graphicData>
            </a:graphic>
          </wp:inline>
        </w:drawing>
      </w:r>
    </w:p>
    <w:p w14:paraId="23723351"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GB"/>
        </w:rPr>
      </w:pPr>
      <w:bookmarkStart w:id="52" w:name="_Ref124256018"/>
      <w:r w:rsidRPr="00A54612">
        <w:rPr>
          <w:rFonts w:eastAsia="Calibri"/>
          <w:b/>
          <w:bCs/>
          <w:i/>
          <w:iCs/>
          <w:sz w:val="20"/>
          <w:szCs w:val="20"/>
          <w:lang w:val="en"/>
        </w:rPr>
        <w:t xml:space="preserve">Figure </w:t>
      </w:r>
      <w:bookmarkEnd w:id="52"/>
      <w:r w:rsidRPr="00A54612">
        <w:rPr>
          <w:rFonts w:eastAsia="Calibri"/>
          <w:b/>
          <w:bCs/>
          <w:i/>
          <w:iCs/>
          <w:sz w:val="20"/>
          <w:szCs w:val="20"/>
          <w:lang w:val="en"/>
        </w:rPr>
        <w:t>3: Tolerance and time duration for application of a new active power set point</w:t>
      </w:r>
    </w:p>
    <w:p w14:paraId="6F276CBC"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p>
    <w:p w14:paraId="56835EFB"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GB"/>
        </w:rPr>
        <w:t xml:space="preserve">In case that the automatic remote-control device of the ESM referred above is out of service, the active power set points shall be implemented via manual-local measures. In such a case the minimum period for </w:t>
      </w:r>
      <w:proofErr w:type="gramStart"/>
      <w:r w:rsidRPr="00A54612">
        <w:rPr>
          <w:rFonts w:eastAsia="Calibri"/>
          <w:szCs w:val="20"/>
          <w:lang w:val="en-GB"/>
        </w:rPr>
        <w:t>a</w:t>
      </w:r>
      <w:proofErr w:type="gramEnd"/>
      <w:r w:rsidRPr="00A54612">
        <w:rPr>
          <w:rFonts w:eastAsia="Calibri"/>
          <w:szCs w:val="20"/>
          <w:lang w:val="en-GB"/>
        </w:rPr>
        <w:t xml:space="preserve"> ESM to reach an active power setpoint is 15min with a tolerance of ±10% of the active power set-point value or ±10MW (whichever is smaller).</w:t>
      </w:r>
    </w:p>
    <w:p w14:paraId="08DFB89A" w14:textId="0560AB76"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GB"/>
        </w:rPr>
        <w:t>While implementing an active power setpoint, the minimum and maximum limits on rates of change of active power output (ramping limits) in both up and down direction</w:t>
      </w:r>
      <w:r w:rsidRPr="00A54612">
        <w:rPr>
          <w:rFonts w:eastAsia="Calibri"/>
          <w:szCs w:val="20"/>
          <w:vertAlign w:val="superscript"/>
          <w:lang w:val="en-GB"/>
        </w:rPr>
        <w:footnoteReference w:id="6"/>
      </w:r>
      <w:r w:rsidRPr="00A54612">
        <w:rPr>
          <w:rFonts w:eastAsia="Calibri"/>
          <w:szCs w:val="20"/>
          <w:lang w:val="en-GB"/>
        </w:rPr>
        <w:t xml:space="preserve"> are summarized in </w:t>
      </w:r>
      <w:r w:rsidRPr="00A54612">
        <w:rPr>
          <w:rFonts w:eastAsia="Calibri"/>
          <w:szCs w:val="20"/>
          <w:lang w:val="en-GB"/>
        </w:rPr>
        <w:fldChar w:fldCharType="begin"/>
      </w:r>
      <w:r w:rsidRPr="00A54612">
        <w:rPr>
          <w:rFonts w:eastAsia="Calibri"/>
          <w:szCs w:val="20"/>
          <w:lang w:val="en-GB"/>
        </w:rPr>
        <w:instrText xml:space="preserve"> REF _Ref124756053 \h  \* MERGEFORMAT </w:instrText>
      </w:r>
      <w:r w:rsidRPr="00A54612">
        <w:rPr>
          <w:rFonts w:eastAsia="Calibri"/>
          <w:szCs w:val="20"/>
          <w:lang w:val="en-GB"/>
        </w:rPr>
      </w:r>
      <w:r w:rsidRPr="00A54612">
        <w:rPr>
          <w:rFonts w:eastAsia="Calibri"/>
          <w:szCs w:val="20"/>
          <w:lang w:val="en-GB"/>
        </w:rPr>
        <w:fldChar w:fldCharType="separate"/>
      </w:r>
      <w:r w:rsidR="00464704" w:rsidRPr="00A54612">
        <w:rPr>
          <w:rFonts w:eastAsia="Calibri"/>
          <w:szCs w:val="20"/>
          <w:lang w:val="en-GB"/>
        </w:rPr>
        <w:t xml:space="preserve">Table </w:t>
      </w:r>
      <w:r w:rsidRPr="00A54612">
        <w:rPr>
          <w:rFonts w:eastAsia="Calibri"/>
          <w:szCs w:val="20"/>
          <w:lang w:val="en-GB"/>
        </w:rPr>
        <w:fldChar w:fldCharType="end"/>
      </w:r>
      <w:r w:rsidRPr="00A54612">
        <w:rPr>
          <w:rFonts w:eastAsia="Calibri"/>
          <w:szCs w:val="20"/>
          <w:lang w:val="en-GB"/>
        </w:rPr>
        <w:t>4.</w:t>
      </w:r>
    </w:p>
    <w:p w14:paraId="09B99143"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2F067C5A"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GB"/>
        </w:rPr>
      </w:pPr>
      <w:bookmarkStart w:id="54" w:name="_Ref124756053"/>
      <w:r w:rsidRPr="00A54612">
        <w:rPr>
          <w:rFonts w:eastAsia="Calibri"/>
          <w:b/>
          <w:bCs/>
          <w:i/>
          <w:iCs/>
          <w:sz w:val="20"/>
          <w:szCs w:val="20"/>
          <w:lang w:val="en"/>
        </w:rPr>
        <w:t xml:space="preserve">Table </w:t>
      </w:r>
      <w:bookmarkEnd w:id="54"/>
      <w:r w:rsidRPr="00A54612">
        <w:rPr>
          <w:rFonts w:eastAsia="Calibri"/>
          <w:b/>
          <w:bCs/>
          <w:i/>
          <w:iCs/>
          <w:sz w:val="20"/>
          <w:szCs w:val="20"/>
          <w:lang w:val="en"/>
        </w:rPr>
        <w:t xml:space="preserve">4: Maximum ramp up/down limits for ESMs connected to the </w:t>
      </w:r>
      <w:proofErr w:type="gramStart"/>
      <w:r w:rsidRPr="00A54612">
        <w:rPr>
          <w:rFonts w:eastAsia="Calibri"/>
          <w:b/>
          <w:bCs/>
          <w:i/>
          <w:iCs/>
          <w:sz w:val="20"/>
          <w:szCs w:val="20"/>
          <w:lang w:val="en"/>
        </w:rPr>
        <w:t>HETS</w:t>
      </w:r>
      <w:proofErr w:type="gramEnd"/>
    </w:p>
    <w:tbl>
      <w:tblPr>
        <w:tblStyle w:val="af3"/>
        <w:tblW w:w="0" w:type="auto"/>
        <w:tblLook w:val="04A0" w:firstRow="1" w:lastRow="0" w:firstColumn="1" w:lastColumn="0" w:noHBand="0" w:noVBand="1"/>
      </w:tblPr>
      <w:tblGrid>
        <w:gridCol w:w="2876"/>
        <w:gridCol w:w="2877"/>
        <w:gridCol w:w="2877"/>
      </w:tblGrid>
      <w:tr w:rsidR="00A54612" w:rsidRPr="00A54612" w14:paraId="033076AD" w14:textId="77777777" w:rsidTr="00172AED">
        <w:tc>
          <w:tcPr>
            <w:tcW w:w="2876" w:type="dxa"/>
          </w:tcPr>
          <w:p w14:paraId="26DD4756"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GB"/>
              </w:rPr>
            </w:pPr>
            <w:r w:rsidRPr="00A54612">
              <w:rPr>
                <w:rFonts w:eastAsia="Calibri"/>
                <w:b/>
                <w:bCs/>
                <w:sz w:val="20"/>
                <w:szCs w:val="20"/>
                <w:lang w:val="en-GB"/>
              </w:rPr>
              <w:t>Prime mover Technology</w:t>
            </w:r>
          </w:p>
        </w:tc>
        <w:tc>
          <w:tcPr>
            <w:tcW w:w="2877" w:type="dxa"/>
          </w:tcPr>
          <w:p w14:paraId="12068264"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US"/>
              </w:rPr>
            </w:pPr>
            <w:r w:rsidRPr="00A54612">
              <w:rPr>
                <w:rFonts w:eastAsia="Calibri"/>
                <w:b/>
                <w:bCs/>
                <w:sz w:val="20"/>
                <w:szCs w:val="20"/>
                <w:lang w:val="en-GB"/>
              </w:rPr>
              <w:t xml:space="preserve">Ramp-up </w:t>
            </w:r>
            <w:r w:rsidRPr="00A54612">
              <w:rPr>
                <w:rFonts w:eastAsia="Calibri"/>
                <w:b/>
                <w:bCs/>
                <w:sz w:val="20"/>
                <w:szCs w:val="20"/>
                <w:lang w:val="en-US"/>
              </w:rPr>
              <w:t>rate</w:t>
            </w:r>
          </w:p>
        </w:tc>
        <w:tc>
          <w:tcPr>
            <w:tcW w:w="2877" w:type="dxa"/>
          </w:tcPr>
          <w:p w14:paraId="1EC4E922" w14:textId="77777777" w:rsidR="00A54612" w:rsidRPr="00A54612" w:rsidRDefault="00A54612" w:rsidP="00A54612">
            <w:pPr>
              <w:tabs>
                <w:tab w:val="clear" w:pos="1189"/>
              </w:tabs>
              <w:spacing w:before="60" w:line="240" w:lineRule="auto"/>
              <w:ind w:left="67" w:right="0"/>
              <w:jc w:val="center"/>
              <w:rPr>
                <w:rFonts w:eastAsia="Calibri"/>
                <w:b/>
                <w:bCs/>
                <w:sz w:val="20"/>
                <w:szCs w:val="20"/>
                <w:lang w:val="en-GB"/>
              </w:rPr>
            </w:pPr>
            <w:r w:rsidRPr="00A54612">
              <w:rPr>
                <w:rFonts w:eastAsia="Calibri"/>
                <w:b/>
                <w:bCs/>
                <w:sz w:val="20"/>
                <w:szCs w:val="20"/>
                <w:lang w:val="en-GB"/>
              </w:rPr>
              <w:t xml:space="preserve">Ramp-down </w:t>
            </w:r>
            <w:r w:rsidRPr="00A54612">
              <w:rPr>
                <w:rFonts w:eastAsia="Calibri"/>
                <w:b/>
                <w:bCs/>
                <w:sz w:val="20"/>
                <w:szCs w:val="20"/>
                <w:lang w:val="en-US"/>
              </w:rPr>
              <w:t>rate</w:t>
            </w:r>
          </w:p>
        </w:tc>
      </w:tr>
      <w:tr w:rsidR="00A54612" w:rsidRPr="00C72D5D" w14:paraId="2539CEDB" w14:textId="77777777" w:rsidTr="00172AED">
        <w:tc>
          <w:tcPr>
            <w:tcW w:w="2876" w:type="dxa"/>
            <w:shd w:val="clear" w:color="auto" w:fill="auto"/>
            <w:vAlign w:val="center"/>
          </w:tcPr>
          <w:p w14:paraId="75457C99" w14:textId="77777777" w:rsidR="00A54612" w:rsidRPr="00A54612" w:rsidRDefault="00A54612" w:rsidP="00A54612">
            <w:pPr>
              <w:tabs>
                <w:tab w:val="clear" w:pos="1189"/>
              </w:tabs>
              <w:spacing w:after="0" w:line="240" w:lineRule="auto"/>
              <w:ind w:right="0"/>
              <w:jc w:val="left"/>
              <w:rPr>
                <w:rFonts w:eastAsia="Cambria"/>
                <w:sz w:val="20"/>
                <w:szCs w:val="20"/>
                <w:lang w:val="en-US"/>
              </w:rPr>
            </w:pPr>
            <w:r w:rsidRPr="00A54612">
              <w:rPr>
                <w:rFonts w:eastAsia="Cambria"/>
                <w:sz w:val="20"/>
                <w:szCs w:val="20"/>
                <w:lang w:val="en-US"/>
              </w:rPr>
              <w:t>ESMs with a power electronic interface</w:t>
            </w:r>
          </w:p>
        </w:tc>
        <w:tc>
          <w:tcPr>
            <w:tcW w:w="2877" w:type="dxa"/>
            <w:shd w:val="clear" w:color="auto" w:fill="auto"/>
            <w:vAlign w:val="center"/>
          </w:tcPr>
          <w:p w14:paraId="05C9EACE" w14:textId="77777777" w:rsidR="00A54612" w:rsidRPr="00A54612" w:rsidRDefault="00A54612" w:rsidP="00A54612">
            <w:pPr>
              <w:tabs>
                <w:tab w:val="clear" w:pos="1189"/>
              </w:tabs>
              <w:spacing w:after="0" w:line="240" w:lineRule="auto"/>
              <w:ind w:right="0"/>
              <w:jc w:val="left"/>
              <w:rPr>
                <w:rFonts w:eastAsia="Cambria"/>
                <w:sz w:val="20"/>
                <w:szCs w:val="20"/>
                <w:lang w:val="en-US"/>
              </w:rPr>
            </w:pPr>
            <w:r w:rsidRPr="00A54612">
              <w:rPr>
                <w:rFonts w:eastAsia="Cambria"/>
                <w:sz w:val="20"/>
                <w:szCs w:val="20"/>
                <w:lang w:val="en-US"/>
              </w:rPr>
              <w:t>not less than 10,0% Pmax/min when in normal conditions</w:t>
            </w:r>
          </w:p>
        </w:tc>
        <w:tc>
          <w:tcPr>
            <w:tcW w:w="2877" w:type="dxa"/>
            <w:shd w:val="clear" w:color="auto" w:fill="auto"/>
            <w:vAlign w:val="center"/>
          </w:tcPr>
          <w:p w14:paraId="2E419690" w14:textId="77777777" w:rsidR="00A54612" w:rsidRPr="00A54612" w:rsidRDefault="00A54612" w:rsidP="00A54612">
            <w:pPr>
              <w:tabs>
                <w:tab w:val="clear" w:pos="1189"/>
              </w:tabs>
              <w:spacing w:after="0" w:line="240" w:lineRule="auto"/>
              <w:ind w:right="0"/>
              <w:jc w:val="left"/>
              <w:rPr>
                <w:rFonts w:eastAsia="Cambria"/>
                <w:sz w:val="20"/>
                <w:szCs w:val="20"/>
                <w:lang w:val="en-US"/>
              </w:rPr>
            </w:pPr>
            <w:r w:rsidRPr="00A54612">
              <w:rPr>
                <w:rFonts w:eastAsia="Cambria"/>
                <w:sz w:val="20"/>
                <w:szCs w:val="20"/>
                <w:lang w:val="en-US"/>
              </w:rPr>
              <w:t>not less than 10,0% Pmax/min when in normal conditions</w:t>
            </w:r>
          </w:p>
        </w:tc>
      </w:tr>
    </w:tbl>
    <w:p w14:paraId="35C17868"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5A35073F"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3F63D115" w14:textId="17A81F43" w:rsidR="00A54612" w:rsidRPr="00A54612" w:rsidRDefault="007A3E7A" w:rsidP="00A54612">
      <w:pPr>
        <w:keepNext/>
        <w:keepLines/>
        <w:widowControl/>
        <w:tabs>
          <w:tab w:val="clear" w:pos="1189"/>
        </w:tabs>
        <w:autoSpaceDE/>
        <w:autoSpaceDN/>
        <w:spacing w:before="240" w:after="240" w:line="240" w:lineRule="auto"/>
        <w:ind w:left="567" w:right="0" w:hanging="567"/>
        <w:jc w:val="left"/>
        <w:outlineLvl w:val="0"/>
        <w:rPr>
          <w:b/>
          <w:sz w:val="32"/>
          <w:szCs w:val="32"/>
          <w:lang w:val="en-US"/>
        </w:rPr>
      </w:pPr>
      <w:r w:rsidRPr="007A3E7A">
        <w:rPr>
          <w:b/>
          <w:sz w:val="32"/>
          <w:szCs w:val="32"/>
          <w:lang w:val="en-US"/>
        </w:rPr>
        <w:t xml:space="preserve">4. </w:t>
      </w:r>
      <w:bookmarkStart w:id="55" w:name="_Ref130913495"/>
      <w:bookmarkStart w:id="56" w:name="_Toc137323486"/>
      <w:r w:rsidR="00A54612" w:rsidRPr="00A54612">
        <w:rPr>
          <w:b/>
          <w:sz w:val="32"/>
          <w:szCs w:val="32"/>
          <w:lang w:val="en-US"/>
        </w:rPr>
        <w:t>Frequency control Requirements</w:t>
      </w:r>
      <w:bookmarkEnd w:id="55"/>
      <w:bookmarkEnd w:id="56"/>
    </w:p>
    <w:p w14:paraId="7358DA42" w14:textId="4CB40F59"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All ESMs connected to the HETS shall be capable of maintaining constant active power output at an active power target value (set point) provided that system frequency is within the limits and  time periods specified in par. 2.1, </w:t>
      </w:r>
      <w:r w:rsidRPr="00A54612">
        <w:rPr>
          <w:rFonts w:eastAsia="Calibri"/>
          <w:lang w:val="en-US"/>
        </w:rPr>
        <w:fldChar w:fldCharType="begin"/>
      </w:r>
      <w:r w:rsidRPr="00A54612">
        <w:rPr>
          <w:rFonts w:eastAsia="Calibri"/>
          <w:lang w:val="en-US"/>
        </w:rPr>
        <w:instrText xml:space="preserve"> REF _Ref124252152 \h  \* MERGEFORMAT </w:instrText>
      </w:r>
      <w:r w:rsidRPr="00A54612">
        <w:rPr>
          <w:rFonts w:eastAsia="Calibri"/>
          <w:lang w:val="en-US"/>
        </w:rPr>
      </w:r>
      <w:r w:rsidRPr="00A54612">
        <w:rPr>
          <w:rFonts w:eastAsia="Calibri"/>
          <w:lang w:val="en-US"/>
        </w:rPr>
        <w:fldChar w:fldCharType="separate"/>
      </w:r>
      <w:r w:rsidR="00464704" w:rsidRPr="00A54612">
        <w:rPr>
          <w:rFonts w:eastAsia="Calibri"/>
          <w:lang w:val="en-US"/>
        </w:rPr>
        <w:t xml:space="preserve">Table </w:t>
      </w:r>
      <w:r w:rsidR="00464704" w:rsidRPr="00A54612">
        <w:rPr>
          <w:rFonts w:eastAsia="Calibri"/>
          <w:b/>
          <w:bCs/>
          <w:i/>
          <w:iCs/>
          <w:sz w:val="20"/>
          <w:szCs w:val="20"/>
          <w:lang w:val="en"/>
        </w:rPr>
        <w:t>1</w:t>
      </w:r>
      <w:r w:rsidRPr="00A54612">
        <w:rPr>
          <w:rFonts w:eastAsia="Calibri"/>
          <w:lang w:val="en-US"/>
        </w:rPr>
        <w:fldChar w:fldCharType="end"/>
      </w:r>
      <w:r w:rsidRPr="00A54612">
        <w:rPr>
          <w:rFonts w:eastAsia="Calibri"/>
          <w:lang w:val="en-US"/>
        </w:rPr>
        <w:t xml:space="preserve">. </w:t>
      </w:r>
    </w:p>
    <w:p w14:paraId="32BA08B1"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The ESM shall be capable of participating in system Frequency Containment Control (FCC) by operating under the modes specified in paragraphs 4.2, 4.3 and 4.4. These requirements apply to both generation (discharge) and consumption (charge) operating modes, unless otherwise explicitly stated. </w:t>
      </w:r>
    </w:p>
    <w:p w14:paraId="25EC4BBD" w14:textId="123420A9" w:rsidR="00A54612" w:rsidRPr="00A54612" w:rsidRDefault="007A3E7A" w:rsidP="00A54612">
      <w:pPr>
        <w:keepNext/>
        <w:keepLines/>
        <w:widowControl/>
        <w:numPr>
          <w:ilvl w:val="1"/>
          <w:numId w:val="0"/>
        </w:numPr>
        <w:tabs>
          <w:tab w:val="clear" w:pos="1189"/>
        </w:tabs>
        <w:autoSpaceDE/>
        <w:autoSpaceDN/>
        <w:spacing w:before="360" w:after="360" w:line="240" w:lineRule="auto"/>
        <w:ind w:left="578" w:right="0" w:hanging="578"/>
        <w:jc w:val="left"/>
        <w:outlineLvl w:val="1"/>
        <w:rPr>
          <w:b/>
          <w:sz w:val="28"/>
          <w:szCs w:val="28"/>
          <w:lang w:val="en-US"/>
        </w:rPr>
      </w:pPr>
      <w:bookmarkStart w:id="57" w:name="_Toc137323487"/>
      <w:bookmarkStart w:id="58" w:name="_Ref127177776"/>
      <w:r w:rsidRPr="00214E69">
        <w:rPr>
          <w:b/>
          <w:sz w:val="28"/>
          <w:szCs w:val="28"/>
          <w:lang w:val="en-US"/>
        </w:rPr>
        <w:lastRenderedPageBreak/>
        <w:t xml:space="preserve">4.1 </w:t>
      </w:r>
      <w:r w:rsidR="00A54612" w:rsidRPr="00A54612">
        <w:rPr>
          <w:b/>
          <w:sz w:val="28"/>
          <w:szCs w:val="28"/>
          <w:lang w:val="en-US"/>
        </w:rPr>
        <w:t>Fast Frequency Response (FFR)</w:t>
      </w:r>
      <w:bookmarkEnd w:id="57"/>
    </w:p>
    <w:p w14:paraId="7522588A"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Electricity Storage Modules (ESMs) shall be able to provide Fast Frequency Response (FFR). FFR is a bidirectional (upward and downward) continuous and automatic active power response that is proportional to the system frequency deviation from the nominal value (</w:t>
      </w:r>
      <w:r w:rsidRPr="00A54612">
        <w:rPr>
          <w:rFonts w:eastAsia="Calibri"/>
        </w:rPr>
        <w:t>Δ</w:t>
      </w:r>
      <w:r w:rsidRPr="00A54612">
        <w:rPr>
          <w:rFonts w:eastAsia="Calibri"/>
          <w:lang w:val="en-US"/>
        </w:rPr>
        <w:t>f=f-</w:t>
      </w:r>
      <w:proofErr w:type="spellStart"/>
      <w:r w:rsidRPr="00A54612">
        <w:rPr>
          <w:rFonts w:eastAsia="Calibri"/>
          <w:lang w:val="en-US"/>
        </w:rPr>
        <w:t>fn</w:t>
      </w:r>
      <w:proofErr w:type="spellEnd"/>
      <w:r w:rsidRPr="00A54612">
        <w:rPr>
          <w:rFonts w:eastAsia="Calibri"/>
          <w:lang w:val="en-US"/>
        </w:rPr>
        <w:t xml:space="preserve">, where </w:t>
      </w:r>
      <w:proofErr w:type="spellStart"/>
      <w:r w:rsidRPr="00A54612">
        <w:rPr>
          <w:rFonts w:eastAsia="Calibri"/>
          <w:lang w:val="en-US"/>
        </w:rPr>
        <w:t>fn</w:t>
      </w:r>
      <w:proofErr w:type="spellEnd"/>
      <w:r w:rsidRPr="00A54612">
        <w:rPr>
          <w:rFonts w:eastAsia="Calibri"/>
          <w:lang w:val="en-US"/>
        </w:rPr>
        <w:t>=50Hz). FFR may be activated either automatically (in case that system frequency deviation exceeds a predefined range) or remotely (as a response to a set-point value set by the TSO).</w:t>
      </w:r>
    </w:p>
    <w:p w14:paraId="41AB9FE4"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FFR complements (but does not replace) the FCR, by improving system response dynamics in the very first moments after frequency disturbances. Although there are similarities between the FFR and the Frequency Containment Control, FFR response time (≤1 sec) is considerably shorter than the 30 sec of full activation time of the Frequency Containment Reserve (FCR). </w:t>
      </w:r>
    </w:p>
    <w:p w14:paraId="7021CE1C" w14:textId="2637719F" w:rsidR="00A54612" w:rsidRPr="00A54612" w:rsidRDefault="007A3E7A" w:rsidP="00A54612">
      <w:pPr>
        <w:keepNext/>
        <w:keepLines/>
        <w:widowControl/>
        <w:numPr>
          <w:ilvl w:val="2"/>
          <w:numId w:val="0"/>
        </w:numPr>
        <w:tabs>
          <w:tab w:val="clear" w:pos="1189"/>
        </w:tabs>
        <w:autoSpaceDE/>
        <w:autoSpaceDN/>
        <w:spacing w:before="240" w:after="240" w:line="240" w:lineRule="auto"/>
        <w:ind w:left="709" w:right="0" w:hanging="567"/>
        <w:jc w:val="left"/>
        <w:outlineLvl w:val="2"/>
        <w:rPr>
          <w:b/>
          <w:sz w:val="24"/>
          <w:szCs w:val="24"/>
          <w:lang w:val="en-US"/>
        </w:rPr>
      </w:pPr>
      <w:bookmarkStart w:id="59" w:name="_Toc137323488"/>
      <w:r w:rsidRPr="007A3E7A">
        <w:rPr>
          <w:b/>
          <w:sz w:val="24"/>
          <w:szCs w:val="24"/>
          <w:lang w:val="en-US"/>
        </w:rPr>
        <w:t xml:space="preserve">4.1.1 </w:t>
      </w:r>
      <w:r w:rsidR="00A54612" w:rsidRPr="00A54612">
        <w:rPr>
          <w:b/>
          <w:sz w:val="24"/>
          <w:szCs w:val="24"/>
          <w:lang w:val="en-US"/>
        </w:rPr>
        <w:t>Assigned Active Power for the Provision of FFR</w:t>
      </w:r>
      <w:bookmarkEnd w:id="59"/>
    </w:p>
    <w:p w14:paraId="5BECF1AB"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For the provision of FFR the ESM shall be capable of assigning up to ±10% of its maximum active power (Assigned Power). </w:t>
      </w:r>
    </w:p>
    <w:p w14:paraId="2C0023BC"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The ESM shall have sufficient energy capacity available to allow for the exchange of the ±Assigned Power for at least 15 min (both upwards and downwards) after the FFR activation. The Energy Management System of the ESM shall be equipped with an energy capacity management logic to ensure compliance with this requirement. </w:t>
      </w:r>
    </w:p>
    <w:p w14:paraId="1C67AB61"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p>
    <w:p w14:paraId="50267809" w14:textId="258FD4D9" w:rsidR="00A54612" w:rsidRPr="00A54612" w:rsidRDefault="007A3E7A" w:rsidP="00A54612">
      <w:pPr>
        <w:keepNext/>
        <w:keepLines/>
        <w:widowControl/>
        <w:numPr>
          <w:ilvl w:val="2"/>
          <w:numId w:val="0"/>
        </w:numPr>
        <w:tabs>
          <w:tab w:val="clear" w:pos="1189"/>
        </w:tabs>
        <w:autoSpaceDE/>
        <w:autoSpaceDN/>
        <w:spacing w:before="240" w:after="240" w:line="240" w:lineRule="auto"/>
        <w:ind w:left="709" w:right="0" w:hanging="720"/>
        <w:jc w:val="left"/>
        <w:outlineLvl w:val="2"/>
        <w:rPr>
          <w:b/>
          <w:sz w:val="24"/>
          <w:szCs w:val="24"/>
          <w:lang w:val="en-US"/>
        </w:rPr>
      </w:pPr>
      <w:bookmarkStart w:id="60" w:name="_Toc137323489"/>
      <w:r w:rsidRPr="00214E69">
        <w:rPr>
          <w:b/>
          <w:sz w:val="24"/>
          <w:szCs w:val="24"/>
          <w:lang w:val="en-US"/>
        </w:rPr>
        <w:t xml:space="preserve">4.1.2 </w:t>
      </w:r>
      <w:r w:rsidR="00A54612" w:rsidRPr="00A54612">
        <w:rPr>
          <w:b/>
          <w:sz w:val="24"/>
          <w:szCs w:val="24"/>
          <w:lang w:val="en-US"/>
        </w:rPr>
        <w:t>Grid Frequency Measurement</w:t>
      </w:r>
      <w:bookmarkEnd w:id="60"/>
    </w:p>
    <w:p w14:paraId="6ED7DC44"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The ESM shall be equipped with a local measurement of the grid frequency. The accuracy of the frequency measurement shall be ±0,02% of the nominal value (±0,01Hz) in any operating condition. The frequency measurement filtering system shall not introduce measurement delay time (response time not exceeding 50ms).</w:t>
      </w:r>
    </w:p>
    <w:p w14:paraId="6A2A053A" w14:textId="662E5E6D" w:rsidR="00A54612" w:rsidRPr="00A54612" w:rsidRDefault="007A3E7A" w:rsidP="00A54612">
      <w:pPr>
        <w:keepNext/>
        <w:keepLines/>
        <w:widowControl/>
        <w:numPr>
          <w:ilvl w:val="2"/>
          <w:numId w:val="0"/>
        </w:numPr>
        <w:tabs>
          <w:tab w:val="clear" w:pos="1189"/>
        </w:tabs>
        <w:autoSpaceDE/>
        <w:autoSpaceDN/>
        <w:spacing w:before="240" w:after="240" w:line="240" w:lineRule="auto"/>
        <w:ind w:left="709" w:right="0" w:hanging="720"/>
        <w:jc w:val="left"/>
        <w:outlineLvl w:val="2"/>
        <w:rPr>
          <w:b/>
          <w:sz w:val="24"/>
          <w:szCs w:val="24"/>
          <w:lang w:val="en-US"/>
        </w:rPr>
      </w:pPr>
      <w:bookmarkStart w:id="61" w:name="_Toc137323490"/>
      <w:r w:rsidRPr="00214E69">
        <w:rPr>
          <w:b/>
          <w:sz w:val="24"/>
          <w:szCs w:val="24"/>
          <w:lang w:val="en-US"/>
        </w:rPr>
        <w:t xml:space="preserve">4.1.3 </w:t>
      </w:r>
      <w:r w:rsidR="00A54612" w:rsidRPr="00A54612">
        <w:rPr>
          <w:b/>
          <w:sz w:val="24"/>
          <w:szCs w:val="24"/>
          <w:lang w:val="en-US"/>
        </w:rPr>
        <w:t>Provision of FFR</w:t>
      </w:r>
      <w:bookmarkEnd w:id="61"/>
    </w:p>
    <w:p w14:paraId="69176AE5"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ESMs shall have the technical capability to be activated by two non-exclusive FFR operation modes:</w:t>
      </w:r>
    </w:p>
    <w:p w14:paraId="426CB174"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US"/>
        </w:rPr>
      </w:pPr>
      <w:r w:rsidRPr="00A54612">
        <w:rPr>
          <w:rFonts w:eastAsia="Calibri"/>
          <w:lang w:val="en-US"/>
        </w:rPr>
        <w:t>proportional to system frequency deviation (frequency deviation mode</w:t>
      </w:r>
      <w:proofErr w:type="gramStart"/>
      <w:r w:rsidRPr="00A54612">
        <w:rPr>
          <w:rFonts w:eastAsia="Calibri"/>
          <w:lang w:val="en-US"/>
        </w:rPr>
        <w:t>);</w:t>
      </w:r>
      <w:proofErr w:type="gramEnd"/>
    </w:p>
    <w:p w14:paraId="5EE075F2"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US"/>
        </w:rPr>
      </w:pPr>
      <w:r w:rsidRPr="00A54612">
        <w:rPr>
          <w:rFonts w:eastAsia="Calibri"/>
          <w:lang w:val="en-US"/>
        </w:rPr>
        <w:t xml:space="preserve">via an active power set-point, set by IPTO (remote control mode) </w:t>
      </w:r>
    </w:p>
    <w:p w14:paraId="6419B7B4"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The ESM active power control system shall be capable of prioritizing one of these two modes for the use of the Assigned Power.  If both modes are activated, the overall active power output shall be equal to the algebraic sum of the contributions provided by each mode.</w:t>
      </w:r>
    </w:p>
    <w:p w14:paraId="49A958B8"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Under the frequency deviation mode, the ESM shall be able to provide a symmetrical, </w:t>
      </w:r>
      <w:proofErr w:type="gramStart"/>
      <w:r w:rsidRPr="00A54612">
        <w:rPr>
          <w:rFonts w:eastAsia="Calibri"/>
          <w:lang w:val="en-US"/>
        </w:rPr>
        <w:t>continuous</w:t>
      </w:r>
      <w:proofErr w:type="gramEnd"/>
      <w:r w:rsidRPr="00A54612">
        <w:rPr>
          <w:rFonts w:eastAsia="Calibri"/>
          <w:lang w:val="en-US"/>
        </w:rPr>
        <w:t xml:space="preserve"> and automatic active power response proportional to the system frequency deviation according to the time - active power profile (</w:t>
      </w:r>
      <w:proofErr w:type="spellStart"/>
      <w:r w:rsidRPr="00A54612">
        <w:rPr>
          <w:rFonts w:eastAsia="Calibri"/>
          <w:lang w:val="en-US"/>
        </w:rPr>
        <w:t>Δf</w:t>
      </w:r>
      <w:proofErr w:type="spellEnd"/>
      <w:r w:rsidRPr="00A54612">
        <w:rPr>
          <w:rFonts w:eastAsia="Calibri"/>
          <w:lang w:val="en-US"/>
        </w:rPr>
        <w:t>-ΔP) of Figure 4.</w:t>
      </w:r>
    </w:p>
    <w:p w14:paraId="00BD6D01" w14:textId="77777777" w:rsidR="00A54612" w:rsidRPr="00A54612" w:rsidRDefault="00A54612" w:rsidP="00A54612">
      <w:pPr>
        <w:widowControl/>
        <w:tabs>
          <w:tab w:val="clear" w:pos="1189"/>
        </w:tabs>
        <w:autoSpaceDE/>
        <w:autoSpaceDN/>
        <w:spacing w:after="120" w:line="240" w:lineRule="auto"/>
        <w:ind w:right="0"/>
        <w:jc w:val="center"/>
        <w:rPr>
          <w:rFonts w:ascii="Calibri" w:eastAsia="Calibri" w:hAnsi="Calibri" w:cs="Arial"/>
          <w:lang w:val="en-US"/>
        </w:rPr>
      </w:pPr>
      <w:r w:rsidRPr="00A54612">
        <w:rPr>
          <w:rFonts w:ascii="Calibri" w:eastAsia="Calibri" w:hAnsi="Calibri" w:cs="Arial"/>
          <w:lang w:val="en-US"/>
        </w:rPr>
        <w:object w:dxaOrig="11100" w:dyaOrig="4860" w14:anchorId="7B0E9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47pt" o:ole="">
            <v:imagedata r:id="rId38" o:title=""/>
          </v:shape>
          <o:OLEObject Type="Embed" ProgID="Visio.Drawing.15" ShapeID="_x0000_i1025" DrawAspect="Content" ObjectID="_1748444573" r:id="rId39"/>
        </w:object>
      </w:r>
    </w:p>
    <w:p w14:paraId="7E0B70E3" w14:textId="77777777" w:rsidR="00A54612" w:rsidRPr="00A54612" w:rsidRDefault="00A54612" w:rsidP="00A54612">
      <w:pPr>
        <w:widowControl/>
        <w:tabs>
          <w:tab w:val="clear" w:pos="1189"/>
        </w:tabs>
        <w:autoSpaceDE/>
        <w:autoSpaceDN/>
        <w:spacing w:after="120" w:line="240" w:lineRule="auto"/>
        <w:ind w:right="0"/>
        <w:jc w:val="center"/>
        <w:rPr>
          <w:rFonts w:eastAsia="Calibri"/>
          <w:b/>
          <w:bCs/>
          <w:i/>
          <w:iCs/>
          <w:sz w:val="20"/>
          <w:szCs w:val="20"/>
          <w:lang w:val="en-US"/>
        </w:rPr>
      </w:pPr>
      <w:r w:rsidRPr="00A54612">
        <w:rPr>
          <w:rFonts w:eastAsia="Calibri"/>
          <w:b/>
          <w:bCs/>
          <w:i/>
          <w:iCs/>
          <w:sz w:val="20"/>
          <w:szCs w:val="20"/>
          <w:lang w:val="en-US"/>
        </w:rPr>
        <w:lastRenderedPageBreak/>
        <w:t>Figure 4. ΔP(t) - Δf response for a stepwise Δf at t=0</w:t>
      </w:r>
    </w:p>
    <w:p w14:paraId="17F6B725" w14:textId="77777777" w:rsidR="00A54612" w:rsidRPr="00A54612" w:rsidRDefault="00A54612" w:rsidP="00A54612">
      <w:pPr>
        <w:widowControl/>
        <w:tabs>
          <w:tab w:val="clear" w:pos="1189"/>
        </w:tabs>
        <w:autoSpaceDE/>
        <w:autoSpaceDN/>
        <w:spacing w:after="120" w:line="240" w:lineRule="auto"/>
        <w:ind w:right="0"/>
        <w:rPr>
          <w:rFonts w:ascii="Calibri" w:eastAsia="Calibri" w:hAnsi="Calibri" w:cs="Arial"/>
          <w:lang w:val="en-US"/>
        </w:rPr>
      </w:pPr>
    </w:p>
    <w:p w14:paraId="6EDCBD10" w14:textId="77777777" w:rsidR="00A54612" w:rsidRPr="00A54612" w:rsidRDefault="00A54612" w:rsidP="00A54612">
      <w:pPr>
        <w:widowControl/>
        <w:tabs>
          <w:tab w:val="clear" w:pos="1189"/>
        </w:tabs>
        <w:autoSpaceDE/>
        <w:autoSpaceDN/>
        <w:spacing w:after="120" w:line="240" w:lineRule="auto"/>
        <w:ind w:right="0"/>
        <w:rPr>
          <w:rFonts w:eastAsia="Calibri"/>
          <w:kern w:val="2"/>
          <w:lang w:val="en-US"/>
          <w14:ligatures w14:val="standardContextual"/>
        </w:rPr>
      </w:pPr>
      <w:r w:rsidRPr="00A54612">
        <w:rPr>
          <w:rFonts w:eastAsia="Calibri"/>
          <w:kern w:val="2"/>
          <w:lang w:val="en-US"/>
          <w14:ligatures w14:val="standardContextual"/>
        </w:rPr>
        <w:t xml:space="preserve">ESMs shall be able to provide full active power response without intentional delay and in any case within 1 sec after FFR activation. The start-up time of the active power response shall not be greater than 300 msec. The active power response shall not excite power oscillations and shall respect the </w:t>
      </w:r>
      <w:bookmarkStart w:id="62" w:name="_Hlk129774778"/>
      <w:r w:rsidRPr="00A54612">
        <w:rPr>
          <w:rFonts w:eastAsia="Calibri"/>
          <w:kern w:val="2"/>
          <w:lang w:val="en-US"/>
          <w14:ligatures w14:val="standardContextual"/>
        </w:rPr>
        <w:t>transient and steady state tolerances</w:t>
      </w:r>
      <w:bookmarkEnd w:id="62"/>
      <w:r w:rsidRPr="00A54612">
        <w:rPr>
          <w:rFonts w:eastAsia="Calibri"/>
          <w:kern w:val="2"/>
          <w:lang w:val="en-US"/>
          <w14:ligatures w14:val="standardContextual"/>
        </w:rPr>
        <w:t xml:space="preserve"> indicated by the dashed area of Figure 5</w:t>
      </w:r>
      <w:r w:rsidRPr="00A54612">
        <w:rPr>
          <w:rFonts w:eastAsia="Calibri"/>
          <w:kern w:val="2"/>
          <w:vertAlign w:val="superscript"/>
          <w:lang w:val="en-US"/>
          <w14:ligatures w14:val="standardContextual"/>
        </w:rPr>
        <w:footnoteReference w:id="7"/>
      </w:r>
      <w:r w:rsidRPr="00A54612">
        <w:rPr>
          <w:rFonts w:eastAsia="Calibri"/>
          <w:kern w:val="2"/>
          <w:lang w:val="en-US"/>
          <w14:ligatures w14:val="standardContextual"/>
        </w:rPr>
        <w:t>.</w:t>
      </w:r>
    </w:p>
    <w:p w14:paraId="254DF89D" w14:textId="77777777" w:rsidR="00A54612" w:rsidRPr="00A54612" w:rsidRDefault="00A54612" w:rsidP="00A54612">
      <w:pPr>
        <w:widowControl/>
        <w:tabs>
          <w:tab w:val="clear" w:pos="1189"/>
        </w:tabs>
        <w:autoSpaceDE/>
        <w:autoSpaceDN/>
        <w:spacing w:after="120" w:line="240" w:lineRule="auto"/>
        <w:ind w:right="0"/>
        <w:jc w:val="left"/>
        <w:rPr>
          <w:rFonts w:ascii="Calibri" w:eastAsia="Calibri" w:hAnsi="Calibri" w:cs="Arial"/>
          <w:kern w:val="2"/>
          <w:lang w:val="en-US"/>
          <w14:ligatures w14:val="standardContextual"/>
        </w:rPr>
      </w:pPr>
      <w:r w:rsidRPr="00A54612">
        <w:rPr>
          <w:rFonts w:ascii="Calibri" w:eastAsia="Calibri" w:hAnsi="Calibri" w:cs="Arial"/>
          <w:kern w:val="2"/>
          <w:lang w:val="en-US"/>
          <w14:ligatures w14:val="standardContextual"/>
        </w:rPr>
        <w:object w:dxaOrig="11160" w:dyaOrig="10140" w14:anchorId="7AA17FFE">
          <v:shape id="_x0000_i1026" type="#_x0000_t75" style="width:365.25pt;height:330.75pt" o:ole="">
            <v:imagedata r:id="rId40" o:title=""/>
          </v:shape>
          <o:OLEObject Type="Embed" ProgID="Visio.Drawing.15" ShapeID="_x0000_i1026" DrawAspect="Content" ObjectID="_1748444574" r:id="rId41"/>
        </w:object>
      </w:r>
    </w:p>
    <w:p w14:paraId="3B4764CB" w14:textId="77777777" w:rsidR="00A54612" w:rsidRPr="00A54612" w:rsidRDefault="00A54612" w:rsidP="00A54612">
      <w:pPr>
        <w:widowControl/>
        <w:tabs>
          <w:tab w:val="clear" w:pos="1189"/>
        </w:tabs>
        <w:autoSpaceDE/>
        <w:autoSpaceDN/>
        <w:spacing w:after="120" w:line="240" w:lineRule="auto"/>
        <w:ind w:right="0"/>
        <w:jc w:val="left"/>
        <w:rPr>
          <w:rFonts w:ascii="Calibri" w:eastAsia="Calibri" w:hAnsi="Calibri" w:cs="Arial"/>
          <w:kern w:val="2"/>
          <w:lang w:val="en-US"/>
          <w14:ligatures w14:val="standardContextual"/>
        </w:rPr>
      </w:pPr>
    </w:p>
    <w:p w14:paraId="3CF29DB5" w14:textId="77777777" w:rsidR="00A54612" w:rsidRPr="00A54612" w:rsidRDefault="00A54612" w:rsidP="00A54612">
      <w:pPr>
        <w:tabs>
          <w:tab w:val="clear" w:pos="1189"/>
        </w:tabs>
        <w:autoSpaceDE/>
        <w:autoSpaceDN/>
        <w:spacing w:after="120" w:line="240" w:lineRule="auto"/>
        <w:ind w:right="0"/>
        <w:jc w:val="center"/>
        <w:rPr>
          <w:rFonts w:eastAsia="Calibri"/>
          <w:b/>
          <w:bCs/>
          <w:i/>
          <w:iCs/>
          <w:kern w:val="2"/>
          <w:sz w:val="20"/>
          <w:szCs w:val="20"/>
          <w:lang w:val="en"/>
          <w14:ligatures w14:val="standardContextual"/>
        </w:rPr>
      </w:pPr>
      <w:r w:rsidRPr="00A54612">
        <w:rPr>
          <w:rFonts w:eastAsia="Calibri"/>
          <w:b/>
          <w:bCs/>
          <w:i/>
          <w:iCs/>
          <w:kern w:val="2"/>
          <w:sz w:val="20"/>
          <w:szCs w:val="20"/>
          <w:lang w:val="en"/>
          <w14:ligatures w14:val="standardContextual"/>
        </w:rPr>
        <w:t xml:space="preserve">Figure 5. </w:t>
      </w:r>
      <w:bookmarkStart w:id="63" w:name="_Hlk129785008"/>
      <w:r w:rsidRPr="00A54612">
        <w:rPr>
          <w:rFonts w:eastAsia="Calibri"/>
          <w:b/>
          <w:bCs/>
          <w:i/>
          <w:iCs/>
          <w:kern w:val="2"/>
          <w:sz w:val="20"/>
          <w:szCs w:val="20"/>
          <w:lang w:val="en"/>
          <w14:ligatures w14:val="standardContextual"/>
        </w:rPr>
        <w:t xml:space="preserve">FFR </w:t>
      </w:r>
      <w:r w:rsidRPr="00A54612">
        <w:rPr>
          <w:rFonts w:eastAsia="Calibri"/>
          <w:b/>
          <w:bCs/>
          <w:i/>
          <w:iCs/>
          <w:kern w:val="2"/>
          <w:sz w:val="20"/>
          <w:szCs w:val="20"/>
          <w:lang w:val="en-US"/>
          <w14:ligatures w14:val="standardContextual"/>
        </w:rPr>
        <w:t>transient and steady state tolerances</w:t>
      </w:r>
      <w:r w:rsidRPr="00A54612">
        <w:rPr>
          <w:rFonts w:eastAsia="Calibri"/>
          <w:b/>
          <w:bCs/>
          <w:i/>
          <w:iCs/>
          <w:kern w:val="2"/>
          <w:sz w:val="20"/>
          <w:szCs w:val="20"/>
          <w:lang w:val="en"/>
          <w14:ligatures w14:val="standardContextual"/>
        </w:rPr>
        <w:t xml:space="preserve"> for </w:t>
      </w:r>
      <w:bookmarkEnd w:id="63"/>
      <w:r w:rsidRPr="00A54612">
        <w:rPr>
          <w:rFonts w:eastAsia="Calibri"/>
          <w:b/>
          <w:bCs/>
          <w:i/>
          <w:iCs/>
          <w:kern w:val="2"/>
          <w:sz w:val="20"/>
          <w:szCs w:val="20"/>
          <w:lang w:val="en"/>
          <w14:ligatures w14:val="standardContextual"/>
        </w:rPr>
        <w:t>frequency deviation control mode</w:t>
      </w:r>
    </w:p>
    <w:p w14:paraId="4298FA0D" w14:textId="77777777" w:rsidR="00A54612" w:rsidRPr="00A54612" w:rsidRDefault="00A54612" w:rsidP="00A54612">
      <w:pPr>
        <w:widowControl/>
        <w:tabs>
          <w:tab w:val="clear" w:pos="1189"/>
        </w:tabs>
        <w:autoSpaceDE/>
        <w:autoSpaceDN/>
        <w:spacing w:after="120" w:line="240" w:lineRule="auto"/>
        <w:ind w:right="0"/>
        <w:rPr>
          <w:rFonts w:eastAsia="Calibri"/>
          <w:kern w:val="2"/>
          <w:lang w:val="en"/>
          <w14:ligatures w14:val="standardContextual"/>
        </w:rPr>
      </w:pPr>
      <w:r w:rsidRPr="00A54612">
        <w:rPr>
          <w:rFonts w:eastAsia="Calibri"/>
          <w:kern w:val="2"/>
          <w:lang w:val="en"/>
          <w14:ligatures w14:val="standardContextual"/>
        </w:rPr>
        <w:t xml:space="preserve">The EMS active power controller shall: </w:t>
      </w:r>
    </w:p>
    <w:p w14:paraId="01BDA1A3"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kern w:val="2"/>
          <w:lang w:val="en"/>
          <w14:ligatures w14:val="standardContextual"/>
        </w:rPr>
      </w:pPr>
      <w:r w:rsidRPr="00A54612">
        <w:rPr>
          <w:rFonts w:eastAsia="Calibri"/>
          <w:kern w:val="2"/>
          <w:lang w:val="en"/>
          <w14:ligatures w14:val="standardContextual"/>
        </w:rPr>
        <w:t xml:space="preserve">provide for an intentional frequency dead band (threshold #1), in the range [0, 500] mHz adjustable in steps of 5 mHz. When system frequency exceeds this (threshold #1), the FFR shall be activated. When system frequency returns to a value within this </w:t>
      </w:r>
      <w:proofErr w:type="gramStart"/>
      <w:r w:rsidRPr="00A54612">
        <w:rPr>
          <w:rFonts w:eastAsia="Calibri"/>
          <w:kern w:val="2"/>
          <w:lang w:val="en"/>
          <w14:ligatures w14:val="standardContextual"/>
        </w:rPr>
        <w:t>dead-band</w:t>
      </w:r>
      <w:proofErr w:type="gramEnd"/>
      <w:r w:rsidRPr="00A54612">
        <w:rPr>
          <w:rFonts w:eastAsia="Calibri"/>
          <w:kern w:val="2"/>
          <w:lang w:val="en"/>
          <w14:ligatures w14:val="standardContextual"/>
        </w:rPr>
        <w:t xml:space="preserve"> (i.e., to a value below (</w:t>
      </w:r>
      <w:r w:rsidRPr="00A54612">
        <w:rPr>
          <w:rFonts w:eastAsia="Calibri"/>
          <w:kern w:val="2"/>
          <w:lang w:val="en-US"/>
          <w14:ligatures w14:val="standardContextual"/>
        </w:rPr>
        <w:t>threshold #1)</w:t>
      </w:r>
      <w:r w:rsidRPr="00A54612">
        <w:rPr>
          <w:rFonts w:eastAsia="Calibri"/>
          <w:kern w:val="2"/>
          <w:lang w:val="en"/>
          <w14:ligatures w14:val="standardContextual"/>
        </w:rPr>
        <w:t>) the energy provided during the</w:t>
      </w:r>
      <w:r w:rsidRPr="00A54612">
        <w:rPr>
          <w:rFonts w:eastAsia="Calibri"/>
          <w:kern w:val="2"/>
          <w:lang w:val="en-US"/>
          <w14:ligatures w14:val="standardContextual"/>
        </w:rPr>
        <w:t xml:space="preserve"> </w:t>
      </w:r>
      <w:r w:rsidRPr="00A54612">
        <w:rPr>
          <w:rFonts w:eastAsia="Calibri"/>
          <w:kern w:val="2"/>
          <w:lang w:val="en"/>
          <w14:ligatures w14:val="standardContextual"/>
        </w:rPr>
        <w:t xml:space="preserve">FFR activation shall be recovered. To avoid continuous activations/deactivations for system frequency values around (threshold #1) an appropriate hysteresis mechanism must be provided.  </w:t>
      </w:r>
    </w:p>
    <w:p w14:paraId="62EEA6AE"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kern w:val="2"/>
          <w:lang w:val="en-US"/>
          <w14:ligatures w14:val="standardContextual"/>
        </w:rPr>
      </w:pPr>
      <w:r w:rsidRPr="00A54612">
        <w:rPr>
          <w:rFonts w:eastAsia="Calibri"/>
          <w:kern w:val="2"/>
          <w:lang w:val="en-US"/>
          <w14:ligatures w14:val="standardContextual"/>
        </w:rPr>
        <w:t xml:space="preserve">provide a (threshold #2), in the range [(threshold #1), 1000] mHz </w:t>
      </w:r>
      <w:r w:rsidRPr="00A54612">
        <w:rPr>
          <w:rFonts w:eastAsia="Calibri"/>
          <w:kern w:val="2"/>
          <w:lang w:val="en"/>
          <w14:ligatures w14:val="standardContextual"/>
        </w:rPr>
        <w:t xml:space="preserve">adjustable </w:t>
      </w:r>
      <w:r w:rsidRPr="00A54612">
        <w:rPr>
          <w:rFonts w:eastAsia="Calibri"/>
          <w:kern w:val="2"/>
          <w:lang w:val="en-US"/>
          <w14:ligatures w14:val="standardContextual"/>
        </w:rPr>
        <w:t xml:space="preserve">in steps of 5 mHz, beyond which the </w:t>
      </w:r>
      <w:bookmarkStart w:id="64" w:name="_Hlk129783512"/>
      <w:r w:rsidRPr="00A54612">
        <w:rPr>
          <w:rFonts w:eastAsia="Calibri"/>
          <w:kern w:val="2"/>
          <w:lang w:val="en-US"/>
          <w14:ligatures w14:val="standardContextual"/>
        </w:rPr>
        <w:t xml:space="preserve">EMS </w:t>
      </w:r>
      <w:bookmarkEnd w:id="64"/>
      <w:r w:rsidRPr="00A54612">
        <w:rPr>
          <w:rFonts w:eastAsia="Calibri"/>
          <w:kern w:val="2"/>
          <w:lang w:val="en-US"/>
          <w14:ligatures w14:val="standardContextual"/>
        </w:rPr>
        <w:t xml:space="preserve">is required to maintain the active power output (either generated or consumed) for as long time as the system frequency exceeds this (threshold #2) </w:t>
      </w:r>
      <w:proofErr w:type="gramStart"/>
      <w:r w:rsidRPr="00A54612">
        <w:rPr>
          <w:rFonts w:eastAsia="Calibri"/>
          <w:kern w:val="2"/>
          <w:lang w:val="en-US"/>
          <w14:ligatures w14:val="standardContextual"/>
        </w:rPr>
        <w:t>provided that</w:t>
      </w:r>
      <w:proofErr w:type="gramEnd"/>
      <w:r w:rsidRPr="00A54612">
        <w:rPr>
          <w:rFonts w:eastAsia="Calibri"/>
          <w:kern w:val="2"/>
          <w:lang w:val="en-US"/>
          <w14:ligatures w14:val="standardContextual"/>
        </w:rPr>
        <w:t xml:space="preserve"> there is sufficient energy content available. </w:t>
      </w:r>
    </w:p>
    <w:p w14:paraId="787D5174"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US"/>
        </w:rPr>
      </w:pPr>
      <w:r w:rsidRPr="00A54612">
        <w:rPr>
          <w:rFonts w:eastAsia="Calibri"/>
          <w:lang w:val="en-US"/>
        </w:rPr>
        <w:t xml:space="preserve">provide a parameter [% of Assigned Power/Δf], which can be defined by IPTO, through which to calculate the intensity of the ΔP to be supplied based on a frequency deviation Δf. </w:t>
      </w:r>
    </w:p>
    <w:p w14:paraId="7AAAC3BA"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US"/>
        </w:rPr>
      </w:pPr>
      <w:r w:rsidRPr="00A54612">
        <w:rPr>
          <w:rFonts w:eastAsia="Calibri"/>
          <w:lang w:val="en-US"/>
        </w:rPr>
        <w:lastRenderedPageBreak/>
        <w:t xml:space="preserve">allow for the inversion of the active power flow, without interruption and within the shortest technical feasible time. </w:t>
      </w:r>
    </w:p>
    <w:p w14:paraId="0423A8B1"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
        </w:rPr>
      </w:pPr>
      <w:r w:rsidRPr="00A54612">
        <w:rPr>
          <w:rFonts w:eastAsia="Calibri"/>
          <w:lang w:val="en"/>
        </w:rPr>
        <w:t xml:space="preserve">in the absence of any further variations of the frequency deviation and for a frequency deviation lower than the (threshold #2), the ESM shall keep modulating the active power proportionally to the frequency deviation continuously for 30 sec and then reduce the active power response linearly until it is canceled, within an adjustable time between 1 and 900 sec and a default value of 5 min (300sec), Figure 4. </w:t>
      </w:r>
    </w:p>
    <w:p w14:paraId="670B33FD"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US"/>
        </w:rPr>
      </w:pPr>
      <w:r w:rsidRPr="00A54612">
        <w:rPr>
          <w:rFonts w:eastAsia="Calibri"/>
          <w:lang w:val="en-US"/>
        </w:rPr>
        <w:t>for frequency deviations between (threshold #1) and (threshold #2), the ESM shall keep modulating the active power proportionally to the frequency deviations continuously for 30 sec.</w:t>
      </w:r>
    </w:p>
    <w:p w14:paraId="33D658C3"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
        </w:rPr>
      </w:pPr>
      <w:r w:rsidRPr="00A54612">
        <w:rPr>
          <w:rFonts w:eastAsia="Calibri"/>
          <w:lang w:val="en"/>
        </w:rPr>
        <w:t xml:space="preserve">if the frequency falls below (threshold #1) for a time within the range [0, 300] sec adjustable in steps of 1 sec and with a default value 200 sec, the active power modulation shall </w:t>
      </w:r>
      <w:proofErr w:type="gramStart"/>
      <w:r w:rsidRPr="00A54612">
        <w:rPr>
          <w:rFonts w:eastAsia="Calibri"/>
          <w:lang w:val="en"/>
        </w:rPr>
        <w:t>cease</w:t>
      </w:r>
      <w:proofErr w:type="gramEnd"/>
      <w:r w:rsidRPr="00A54612">
        <w:rPr>
          <w:rFonts w:eastAsia="Calibri"/>
          <w:lang w:val="en"/>
        </w:rPr>
        <w:t xml:space="preserve"> and the EMS control logic shall reset in order to reactivate if necessary. In the event of an inversion of the sign of the frequency deviation with respect to the active power modulation in progress, the EMS control logic shall be activated instantaneously </w:t>
      </w:r>
      <w:proofErr w:type="gramStart"/>
      <w:r w:rsidRPr="00A54612">
        <w:rPr>
          <w:rFonts w:eastAsia="Calibri"/>
          <w:lang w:val="en"/>
        </w:rPr>
        <w:t>in order to</w:t>
      </w:r>
      <w:proofErr w:type="gramEnd"/>
      <w:r w:rsidRPr="00A54612">
        <w:rPr>
          <w:rFonts w:eastAsia="Calibri"/>
          <w:lang w:val="en"/>
        </w:rPr>
        <w:t xml:space="preserve"> allow for active power modulation in the opposite direction.</w:t>
      </w:r>
    </w:p>
    <w:p w14:paraId="4118013D"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Under the remote-control mode the FFR shall provide a symmetrical, </w:t>
      </w:r>
      <w:proofErr w:type="gramStart"/>
      <w:r w:rsidRPr="00A54612">
        <w:rPr>
          <w:rFonts w:eastAsia="Calibri"/>
          <w:lang w:val="en-US"/>
        </w:rPr>
        <w:t>continuous</w:t>
      </w:r>
      <w:proofErr w:type="gramEnd"/>
      <w:r w:rsidRPr="00A54612">
        <w:rPr>
          <w:rFonts w:eastAsia="Calibri"/>
          <w:lang w:val="en-US"/>
        </w:rPr>
        <w:t xml:space="preserve"> and automatic active power response to obtain an active power set-point value set by IPTO. </w:t>
      </w:r>
    </w:p>
    <w:p w14:paraId="50F4572D"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Remote control can be activated for each Block of Availability Hours for a maximum of 15 min equivalent of an active power increase equal to +Assigned Power and 15 min equivalent of an active power decrease equal to -Assigned Power. </w:t>
      </w:r>
    </w:p>
    <w:p w14:paraId="48C14744" w14:textId="77777777" w:rsidR="00A54612" w:rsidRPr="00A54612" w:rsidRDefault="00A54612" w:rsidP="00A54612">
      <w:pPr>
        <w:widowControl/>
        <w:tabs>
          <w:tab w:val="clear" w:pos="1189"/>
        </w:tabs>
        <w:autoSpaceDE/>
        <w:autoSpaceDN/>
        <w:spacing w:after="120" w:line="240" w:lineRule="auto"/>
        <w:ind w:right="0"/>
        <w:rPr>
          <w:rFonts w:eastAsia="Calibri"/>
          <w:lang w:val="en"/>
        </w:rPr>
      </w:pPr>
      <w:r w:rsidRPr="00A54612">
        <w:rPr>
          <w:rFonts w:eastAsia="Calibri"/>
          <w:lang w:val="en"/>
        </w:rPr>
        <w:t xml:space="preserve">The EMS active power controller shall: </w:t>
      </w:r>
    </w:p>
    <w:p w14:paraId="39D7E773"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
        </w:rPr>
      </w:pPr>
      <w:r w:rsidRPr="00A54612">
        <w:rPr>
          <w:rFonts w:eastAsia="Calibri"/>
          <w:lang w:val="en"/>
        </w:rPr>
        <w:t xml:space="preserve">be able to receive and apply an active power set-point, defined in the range [0%, 100%] of the ±Assigned </w:t>
      </w:r>
      <w:proofErr w:type="gramStart"/>
      <w:r w:rsidRPr="00A54612">
        <w:rPr>
          <w:rFonts w:eastAsia="Calibri"/>
          <w:lang w:val="en"/>
        </w:rPr>
        <w:t>Power;</w:t>
      </w:r>
      <w:proofErr w:type="gramEnd"/>
    </w:p>
    <w:p w14:paraId="2AD70843"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
        </w:rPr>
      </w:pPr>
      <w:r w:rsidRPr="00A54612">
        <w:rPr>
          <w:rFonts w:eastAsia="Calibri"/>
          <w:lang w:val="en"/>
        </w:rPr>
        <w:t>provide full active power response without intentional delays and in any case within 2 sec after receiving the set-point. The activation must not excite power oscillations and respect the transient and steady state tolerances indicated by the dashed area of Figure 6</w:t>
      </w:r>
      <w:r w:rsidRPr="00A54612">
        <w:rPr>
          <w:rFonts w:eastAsia="Calibri"/>
          <w:vertAlign w:val="superscript"/>
          <w:lang w:val="en"/>
        </w:rPr>
        <w:footnoteReference w:id="8"/>
      </w:r>
      <w:r w:rsidRPr="00A54612">
        <w:rPr>
          <w:rFonts w:eastAsia="Calibri"/>
          <w:lang w:val="en"/>
        </w:rPr>
        <w:t>.</w:t>
      </w:r>
    </w:p>
    <w:p w14:paraId="1664B1E2"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US"/>
        </w:rPr>
      </w:pPr>
      <w:r w:rsidRPr="00A54612">
        <w:rPr>
          <w:rFonts w:eastAsia="Calibri"/>
          <w:lang w:val="en-US"/>
        </w:rPr>
        <w:t>allow for the inversion of the active power flow, without interruption and within the shortest technical feasible time between upward and downward contribution.</w:t>
      </w:r>
    </w:p>
    <w:p w14:paraId="3008DFC7"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US"/>
        </w:rPr>
      </w:pPr>
      <w:r w:rsidRPr="00A54612">
        <w:rPr>
          <w:rFonts w:eastAsia="Calibri"/>
          <w:lang w:val="en-US"/>
        </w:rPr>
        <w:t>allow for the simultaneous activation and active power modulation according to the frequency deviation control mode.</w:t>
      </w:r>
    </w:p>
    <w:p w14:paraId="5F7DA35E"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US"/>
        </w:rPr>
      </w:pPr>
      <w:r w:rsidRPr="00A54612">
        <w:rPr>
          <w:rFonts w:eastAsia="Calibri"/>
          <w:lang w:val="en-US"/>
        </w:rPr>
        <w:t xml:space="preserve">maintain the set-point active power value for the time allowed by the available energy content. </w:t>
      </w:r>
    </w:p>
    <w:p w14:paraId="71F13153"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US"/>
        </w:rPr>
      </w:pPr>
      <w:r w:rsidRPr="00A54612">
        <w:rPr>
          <w:rFonts w:eastAsia="Calibri"/>
          <w:lang w:val="en-US"/>
        </w:rPr>
        <w:t xml:space="preserve">make available and not limit access to the use of the capability equal to ±Assigned Power for an energy capacity at most equal to 15 minutes equivalent to the Assigned Power for both control directions. </w:t>
      </w:r>
    </w:p>
    <w:p w14:paraId="4CFE37BC" w14:textId="77777777" w:rsidR="00A54612" w:rsidRPr="00A54612" w:rsidRDefault="00A54612" w:rsidP="00E67595">
      <w:pPr>
        <w:widowControl/>
        <w:numPr>
          <w:ilvl w:val="0"/>
          <w:numId w:val="41"/>
        </w:numPr>
        <w:tabs>
          <w:tab w:val="clear" w:pos="1189"/>
        </w:tabs>
        <w:autoSpaceDE/>
        <w:autoSpaceDN/>
        <w:spacing w:after="120" w:line="240" w:lineRule="auto"/>
        <w:ind w:left="360" w:right="0"/>
        <w:jc w:val="left"/>
        <w:rPr>
          <w:rFonts w:eastAsia="Calibri"/>
          <w:lang w:val="en-US"/>
        </w:rPr>
      </w:pPr>
      <w:r w:rsidRPr="00A54612">
        <w:rPr>
          <w:rFonts w:eastAsia="Calibri"/>
          <w:lang w:val="en-US"/>
        </w:rPr>
        <w:t xml:space="preserve">allow for the provision of active power (less than or at most equal to the Assigned Power) for an equivalent </w:t>
      </w:r>
      <w:proofErr w:type="gramStart"/>
      <w:r w:rsidRPr="00A54612">
        <w:rPr>
          <w:rFonts w:eastAsia="Calibri"/>
          <w:lang w:val="en-US"/>
        </w:rPr>
        <w:t>period of time</w:t>
      </w:r>
      <w:proofErr w:type="gramEnd"/>
      <w:r w:rsidRPr="00A54612">
        <w:rPr>
          <w:rFonts w:eastAsia="Calibri"/>
          <w:lang w:val="en-US"/>
        </w:rPr>
        <w:t xml:space="preserve"> defined by the available energy content.</w:t>
      </w:r>
    </w:p>
    <w:p w14:paraId="4FAD076E"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p>
    <w:p w14:paraId="3C02E286" w14:textId="77777777" w:rsidR="00A54612" w:rsidRPr="00A54612" w:rsidRDefault="00A54612" w:rsidP="00A54612">
      <w:pPr>
        <w:widowControl/>
        <w:tabs>
          <w:tab w:val="clear" w:pos="1189"/>
        </w:tabs>
        <w:autoSpaceDE/>
        <w:autoSpaceDN/>
        <w:spacing w:after="120" w:line="240" w:lineRule="auto"/>
        <w:ind w:right="0"/>
        <w:rPr>
          <w:rFonts w:ascii="Calibri" w:eastAsia="Calibri" w:hAnsi="Calibri" w:cs="Arial"/>
          <w:lang w:val="en-US"/>
        </w:rPr>
      </w:pPr>
      <w:r w:rsidRPr="00A54612">
        <w:rPr>
          <w:rFonts w:ascii="Calibri" w:eastAsia="Calibri" w:hAnsi="Calibri" w:cs="Arial"/>
          <w:lang w:val="en-US"/>
        </w:rPr>
        <w:object w:dxaOrig="11160" w:dyaOrig="10140" w14:anchorId="20B81D4D">
          <v:shape id="_x0000_i1027" type="#_x0000_t75" style="width:399.75pt;height:363.75pt" o:ole="">
            <v:imagedata r:id="rId42" o:title=""/>
          </v:shape>
          <o:OLEObject Type="Embed" ProgID="Visio.Drawing.15" ShapeID="_x0000_i1027" DrawAspect="Content" ObjectID="_1748444575" r:id="rId43"/>
        </w:object>
      </w:r>
    </w:p>
    <w:p w14:paraId="55B9072B" w14:textId="77777777" w:rsidR="00A54612" w:rsidRPr="00A54612" w:rsidRDefault="00A54612" w:rsidP="00A54612">
      <w:pPr>
        <w:widowControl/>
        <w:tabs>
          <w:tab w:val="clear" w:pos="1189"/>
        </w:tabs>
        <w:autoSpaceDE/>
        <w:autoSpaceDN/>
        <w:spacing w:after="120" w:line="240" w:lineRule="auto"/>
        <w:ind w:right="0"/>
        <w:jc w:val="center"/>
        <w:rPr>
          <w:rFonts w:eastAsia="Calibri"/>
          <w:b/>
          <w:bCs/>
          <w:i/>
          <w:iCs/>
          <w:sz w:val="20"/>
          <w:szCs w:val="20"/>
          <w:lang w:val="en"/>
        </w:rPr>
      </w:pPr>
      <w:r w:rsidRPr="00A54612">
        <w:rPr>
          <w:rFonts w:eastAsia="Calibri"/>
          <w:b/>
          <w:bCs/>
          <w:i/>
          <w:iCs/>
          <w:sz w:val="20"/>
          <w:szCs w:val="20"/>
          <w:lang w:val="en"/>
        </w:rPr>
        <w:t xml:space="preserve">Figure 6. FFR </w:t>
      </w:r>
      <w:r w:rsidRPr="00A54612">
        <w:rPr>
          <w:rFonts w:eastAsia="Calibri"/>
          <w:b/>
          <w:bCs/>
          <w:i/>
          <w:iCs/>
          <w:sz w:val="20"/>
          <w:szCs w:val="20"/>
          <w:lang w:val="en-US"/>
        </w:rPr>
        <w:t>transient and steady state tolerances</w:t>
      </w:r>
      <w:r w:rsidRPr="00A54612">
        <w:rPr>
          <w:rFonts w:eastAsia="Calibri"/>
          <w:b/>
          <w:bCs/>
          <w:i/>
          <w:iCs/>
          <w:sz w:val="20"/>
          <w:szCs w:val="20"/>
          <w:lang w:val="en"/>
        </w:rPr>
        <w:t xml:space="preserve"> for </w:t>
      </w:r>
      <w:bookmarkStart w:id="65" w:name="_Hlk129706460"/>
      <w:r w:rsidRPr="00A54612">
        <w:rPr>
          <w:rFonts w:eastAsia="Calibri"/>
          <w:b/>
          <w:bCs/>
          <w:i/>
          <w:iCs/>
          <w:sz w:val="20"/>
          <w:szCs w:val="20"/>
          <w:lang w:val="en"/>
        </w:rPr>
        <w:t>remote control mode</w:t>
      </w:r>
      <w:bookmarkEnd w:id="65"/>
    </w:p>
    <w:p w14:paraId="3654EA51" w14:textId="77777777" w:rsidR="00A54612" w:rsidRPr="00A54612" w:rsidRDefault="00A54612" w:rsidP="00A54612">
      <w:pPr>
        <w:widowControl/>
        <w:tabs>
          <w:tab w:val="clear" w:pos="1189"/>
        </w:tabs>
        <w:autoSpaceDE/>
        <w:autoSpaceDN/>
        <w:spacing w:after="120" w:line="240" w:lineRule="auto"/>
        <w:ind w:right="0"/>
        <w:jc w:val="left"/>
        <w:rPr>
          <w:rFonts w:ascii="Calibri" w:eastAsia="Calibri" w:hAnsi="Calibri" w:cs="Arial"/>
          <w:lang w:val="en"/>
        </w:rPr>
      </w:pPr>
    </w:p>
    <w:p w14:paraId="72ADFC44" w14:textId="2BF4AAEB" w:rsidR="00A54612" w:rsidRPr="00A54612" w:rsidRDefault="007A3E7A" w:rsidP="00A54612">
      <w:pPr>
        <w:keepNext/>
        <w:keepLines/>
        <w:widowControl/>
        <w:numPr>
          <w:ilvl w:val="1"/>
          <w:numId w:val="0"/>
        </w:numPr>
        <w:tabs>
          <w:tab w:val="clear" w:pos="1189"/>
        </w:tabs>
        <w:autoSpaceDE/>
        <w:autoSpaceDN/>
        <w:spacing w:before="360" w:after="360" w:line="240" w:lineRule="auto"/>
        <w:ind w:left="578" w:right="0" w:hanging="578"/>
        <w:jc w:val="left"/>
        <w:outlineLvl w:val="1"/>
        <w:rPr>
          <w:b/>
          <w:sz w:val="28"/>
          <w:szCs w:val="28"/>
          <w:lang w:val="en-US"/>
        </w:rPr>
      </w:pPr>
      <w:bookmarkStart w:id="66" w:name="_Toc137323491"/>
      <w:r w:rsidRPr="00214E69">
        <w:rPr>
          <w:b/>
          <w:sz w:val="28"/>
          <w:szCs w:val="28"/>
          <w:lang w:val="en-US"/>
        </w:rPr>
        <w:t xml:space="preserve">4.2 </w:t>
      </w:r>
      <w:r w:rsidR="00A54612" w:rsidRPr="00A54612">
        <w:rPr>
          <w:b/>
          <w:sz w:val="28"/>
          <w:szCs w:val="28"/>
          <w:lang w:val="en-US"/>
        </w:rPr>
        <w:t>Frequency Sensitivity Mode</w:t>
      </w:r>
      <w:bookmarkEnd w:id="66"/>
    </w:p>
    <w:p w14:paraId="17B3AA8D"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 xml:space="preserve">In case of relatively small system frequency deviations around the nominal value (50,0Hz) all ESMs connected to the HETS and within IPTO’s control area shall have the capability of operating under Frequency Sensitive Mode (FSM) and participate in system frequency containment control. Under this operating mode, the ESM should properly adjust its active power injection or absorption for frequency deviations inside a predefined frequency range of ±200mHz around 50,0Hz (i.e., for system frequency 49,8 &lt; to &lt; 50,2 Hz). </w:t>
      </w:r>
    </w:p>
    <w:p w14:paraId="62A2A1C9"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While frequency remains below 50,0Hz minus a -10mHz dead band</w:t>
      </w:r>
      <w:r w:rsidRPr="00A54612">
        <w:rPr>
          <w:rFonts w:eastAsia="Calibri"/>
          <w:szCs w:val="20"/>
          <w:vertAlign w:val="superscript"/>
          <w:lang w:val="en-GB"/>
        </w:rPr>
        <w:footnoteReference w:id="9"/>
      </w:r>
      <w:r w:rsidRPr="00A54612">
        <w:rPr>
          <w:rFonts w:eastAsia="Calibri"/>
          <w:szCs w:val="20"/>
          <w:lang w:val="en-GB"/>
        </w:rPr>
        <w:t xml:space="preserve"> the ESM should be capable of continuously increasing its active power output (in discharging mode by increasing active power generation, in charging mode by decreasing active power consumption and, if necessary, switch to discharging mode</w:t>
      </w:r>
      <w:r w:rsidRPr="00A54612">
        <w:rPr>
          <w:rFonts w:eastAsia="Calibri"/>
          <w:lang w:val="en-US"/>
        </w:rPr>
        <w:t xml:space="preserve"> </w:t>
      </w:r>
      <w:r w:rsidRPr="00A54612">
        <w:rPr>
          <w:rFonts w:eastAsia="Calibri"/>
          <w:szCs w:val="20"/>
          <w:lang w:val="en-GB"/>
        </w:rPr>
        <w:t>within the shortest technically feasible time) under a steady active power – frequency droop (s</w:t>
      </w:r>
      <w:r w:rsidRPr="00A54612">
        <w:rPr>
          <w:rFonts w:eastAsia="Calibri"/>
          <w:szCs w:val="20"/>
          <w:vertAlign w:val="subscript"/>
          <w:lang w:val="en-GB"/>
        </w:rPr>
        <w:t>1</w:t>
      </w:r>
      <w:r w:rsidRPr="00A54612">
        <w:rPr>
          <w:rFonts w:eastAsia="Calibri"/>
          <w:szCs w:val="20"/>
          <w:lang w:val="en-GB"/>
        </w:rPr>
        <w:t xml:space="preserve">). </w:t>
      </w:r>
    </w:p>
    <w:p w14:paraId="14258F90"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 xml:space="preserve">This increase should last until either system frequency restores at a value within a -10mHz dead band around 50,0Hz or the ESM reaches its maximum capacity (Pmax). Upon reaching maximum capacity the ESM shall keep operating at discharge mode for as long as </w:t>
      </w:r>
      <w:r w:rsidRPr="00A54612">
        <w:rPr>
          <w:rFonts w:eastAsia="Calibri"/>
          <w:szCs w:val="20"/>
          <w:lang w:val="en-US"/>
        </w:rPr>
        <w:t xml:space="preserve">there is available stored </w:t>
      </w:r>
      <w:r w:rsidRPr="00A54612">
        <w:rPr>
          <w:rFonts w:eastAsia="Calibri"/>
          <w:szCs w:val="20"/>
          <w:lang w:val="en-GB"/>
        </w:rPr>
        <w:t xml:space="preserve">energy content or as agreed between </w:t>
      </w:r>
      <w:r w:rsidRPr="00A54612">
        <w:rPr>
          <w:rFonts w:eastAsia="Calibri"/>
          <w:szCs w:val="20"/>
          <w:lang w:val="en-GB"/>
        </w:rPr>
        <w:lastRenderedPageBreak/>
        <w:t>the ESM owner and IPTO. In case that system frequency decreases further below 49,8Hz and the ESM has not reached its maximum capacity, the ESM should operate under the LFSM-U mode according to par.4.4.</w:t>
      </w:r>
    </w:p>
    <w:p w14:paraId="00013E3D"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Similarly, while frequency remains above 50,0Hz plus a +10mHz dead band the ESM should be capable of continuously decreasing its active power output (in discharging mode by decreasing active power generation, in charging mode by increasing active power consumption and, if necessary, switch to discharging mode</w:t>
      </w:r>
      <w:r w:rsidRPr="00A54612">
        <w:rPr>
          <w:rFonts w:eastAsia="Calibri"/>
          <w:lang w:val="en-US"/>
        </w:rPr>
        <w:t xml:space="preserve"> </w:t>
      </w:r>
      <w:r w:rsidRPr="00A54612">
        <w:rPr>
          <w:rFonts w:eastAsia="Calibri"/>
          <w:szCs w:val="20"/>
          <w:lang w:val="en-GB"/>
        </w:rPr>
        <w:t>within the shortest technically feasible time) under a steady active power – frequency droop (s</w:t>
      </w:r>
      <w:r w:rsidRPr="00A54612">
        <w:rPr>
          <w:rFonts w:eastAsia="Calibri"/>
          <w:szCs w:val="20"/>
          <w:vertAlign w:val="subscript"/>
          <w:lang w:val="en-GB"/>
        </w:rPr>
        <w:t>1</w:t>
      </w:r>
      <w:r w:rsidRPr="00A54612">
        <w:rPr>
          <w:rFonts w:eastAsia="Calibri"/>
          <w:szCs w:val="20"/>
          <w:lang w:val="en-GB"/>
        </w:rPr>
        <w:t xml:space="preserve">). </w:t>
      </w:r>
    </w:p>
    <w:p w14:paraId="4ABD631B"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 xml:space="preserve">This decrease should last until either system frequency reduces at a value within a +10mHz dead band around 50,0Hz or the ESM reaches its active power maximum consumption capacity. Upon reaching maximum consumption capacity the ESM shall keep operating under discharging mode until the ESM fills the maximum energy content that is able to store or as agreed between the ESM owner and IPTO. </w:t>
      </w:r>
    </w:p>
    <w:p w14:paraId="5E8FDE72" w14:textId="45305D02"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In case that system frequency increases further above 50,2Hz and the ESM has not reached its maximum consumption capacity the ESM shall operate under the LFSM-O mode according to par.4.3. In the event of a frequency step change (dip or surge), the ESM should be able to provide FCR (upwards or downwards, respectively) within an active power range |ΔP1| expressed as a percentage (%) of their maximum capacity (|ΔP1|/Pmax). This active power range should be within the range of 1,5-100% of ESM maximum capacity.</w:t>
      </w:r>
    </w:p>
    <w:p w14:paraId="5055A8BC" w14:textId="21921FD1" w:rsidR="00A54612" w:rsidRPr="009564C3" w:rsidRDefault="00A54612" w:rsidP="00A54612">
      <w:pPr>
        <w:widowControl/>
        <w:tabs>
          <w:tab w:val="clear" w:pos="1189"/>
        </w:tabs>
        <w:autoSpaceDE/>
        <w:autoSpaceDN/>
        <w:spacing w:after="120" w:line="240" w:lineRule="auto"/>
        <w:ind w:left="-90" w:right="0"/>
        <w:rPr>
          <w:rFonts w:eastAsia="Calibri"/>
          <w:szCs w:val="20"/>
          <w:lang w:val="en-US"/>
        </w:rPr>
      </w:pPr>
      <w:r w:rsidRPr="00A54612">
        <w:rPr>
          <w:rFonts w:eastAsia="Calibri"/>
          <w:szCs w:val="20"/>
          <w:lang w:val="en-GB"/>
        </w:rPr>
        <w:t>The ESM shall be capable of activating the provision of FSM active power frequency response according to Figure 7 and with the parameters listed in</w:t>
      </w:r>
      <w:r w:rsidR="009564C3" w:rsidRPr="009564C3">
        <w:rPr>
          <w:rFonts w:eastAsia="Calibri"/>
          <w:lang w:val="en-US"/>
        </w:rPr>
        <w:t xml:space="preserve"> </w:t>
      </w:r>
      <w:r w:rsidR="009564C3">
        <w:rPr>
          <w:rFonts w:eastAsia="Calibri"/>
          <w:lang w:val="en-US"/>
        </w:rPr>
        <w:t xml:space="preserve">Table </w:t>
      </w:r>
      <w:r w:rsidRPr="009564C3">
        <w:rPr>
          <w:rFonts w:eastAsia="Calibri"/>
          <w:lang w:val="en-US"/>
        </w:rPr>
        <w:t>5</w:t>
      </w:r>
      <w:r w:rsidRPr="009564C3">
        <w:rPr>
          <w:rFonts w:eastAsia="Calibri"/>
          <w:szCs w:val="20"/>
          <w:lang w:val="en-US"/>
        </w:rPr>
        <w:t xml:space="preserve"> </w:t>
      </w:r>
      <w:r w:rsidRPr="00A54612">
        <w:rPr>
          <w:rFonts w:eastAsia="Calibri"/>
          <w:szCs w:val="20"/>
          <w:lang w:val="en-GB"/>
        </w:rPr>
        <w:t>and</w:t>
      </w:r>
      <w:r w:rsidRPr="009564C3">
        <w:rPr>
          <w:rFonts w:eastAsia="Calibri"/>
          <w:szCs w:val="20"/>
          <w:lang w:val="en-US"/>
        </w:rPr>
        <w:t xml:space="preserve"> </w:t>
      </w:r>
      <w:r w:rsidRPr="00A54612">
        <w:rPr>
          <w:rFonts w:eastAsia="Calibri"/>
          <w:szCs w:val="20"/>
          <w:lang w:val="en-GB"/>
        </w:rPr>
        <w:t>further</w:t>
      </w:r>
      <w:r w:rsidRPr="009564C3">
        <w:rPr>
          <w:rFonts w:eastAsia="Calibri"/>
          <w:szCs w:val="20"/>
          <w:lang w:val="en-US"/>
        </w:rPr>
        <w:t xml:space="preserve"> </w:t>
      </w:r>
      <w:r w:rsidRPr="00A54612">
        <w:rPr>
          <w:rFonts w:eastAsia="Calibri"/>
          <w:szCs w:val="20"/>
          <w:lang w:val="en-GB"/>
        </w:rPr>
        <w:t>analysed</w:t>
      </w:r>
      <w:r w:rsidRPr="009564C3">
        <w:rPr>
          <w:rFonts w:eastAsia="Calibri"/>
          <w:szCs w:val="20"/>
          <w:lang w:val="en-US"/>
        </w:rPr>
        <w:t xml:space="preserve"> </w:t>
      </w:r>
      <w:r w:rsidRPr="00A54612">
        <w:rPr>
          <w:rFonts w:eastAsia="Calibri"/>
          <w:szCs w:val="20"/>
          <w:lang w:val="en-GB"/>
        </w:rPr>
        <w:t>below</w:t>
      </w:r>
      <w:r w:rsidRPr="009564C3">
        <w:rPr>
          <w:rFonts w:eastAsia="Calibri"/>
          <w:szCs w:val="20"/>
          <w:lang w:val="en-US"/>
        </w:rPr>
        <w:t xml:space="preserve">. </w:t>
      </w:r>
    </w:p>
    <w:p w14:paraId="01370EAA" w14:textId="77777777" w:rsidR="00A54612" w:rsidRPr="009564C3" w:rsidRDefault="00A54612" w:rsidP="00A54612">
      <w:pPr>
        <w:widowControl/>
        <w:tabs>
          <w:tab w:val="clear" w:pos="1189"/>
        </w:tabs>
        <w:autoSpaceDE/>
        <w:autoSpaceDN/>
        <w:spacing w:after="120" w:line="240" w:lineRule="auto"/>
        <w:ind w:left="-90" w:right="0"/>
        <w:rPr>
          <w:rFonts w:eastAsia="Calibri"/>
          <w:szCs w:val="20"/>
          <w:lang w:val="en-US"/>
        </w:rPr>
      </w:pPr>
    </w:p>
    <w:p w14:paraId="383A457B" w14:textId="52F8A52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r w:rsidRPr="00A54612">
        <w:rPr>
          <w:rFonts w:eastAsia="Calibri"/>
          <w:b/>
          <w:bCs/>
          <w:i/>
          <w:iCs/>
          <w:sz w:val="20"/>
          <w:szCs w:val="20"/>
          <w:lang w:val="en"/>
        </w:rPr>
        <w:t xml:space="preserve">Table 5: Parameters for ESM active power frequency response in FSM (explanation for </w:t>
      </w:r>
      <w:r w:rsidR="009564C3">
        <w:rPr>
          <w:rFonts w:eastAsia="Calibri"/>
          <w:b/>
          <w:bCs/>
          <w:i/>
          <w:iCs/>
          <w:sz w:val="20"/>
          <w:szCs w:val="20"/>
          <w:lang w:val="en"/>
        </w:rPr>
        <w:t>Figure</w:t>
      </w:r>
      <w:r w:rsidR="009564C3" w:rsidRPr="009564C3">
        <w:rPr>
          <w:rFonts w:eastAsia="Calibri"/>
          <w:b/>
          <w:bCs/>
          <w:i/>
          <w:iCs/>
          <w:sz w:val="20"/>
          <w:szCs w:val="20"/>
          <w:lang w:val="en"/>
        </w:rPr>
        <w:t xml:space="preserve"> </w:t>
      </w:r>
      <w:r w:rsidRPr="009564C3">
        <w:rPr>
          <w:rFonts w:eastAsia="Calibri"/>
          <w:b/>
          <w:bCs/>
          <w:i/>
          <w:iCs/>
        </w:rPr>
        <w:fldChar w:fldCharType="begin"/>
      </w:r>
      <w:r w:rsidRPr="009564C3">
        <w:rPr>
          <w:rFonts w:eastAsia="Calibri"/>
          <w:b/>
          <w:bCs/>
          <w:i/>
          <w:iCs/>
          <w:lang w:val="en-US"/>
        </w:rPr>
        <w:instrText xml:space="preserve"> REF _Ref130916949 \h  \* MERGEFORMAT </w:instrText>
      </w:r>
      <w:r w:rsidRPr="009564C3">
        <w:rPr>
          <w:rFonts w:eastAsia="Calibri"/>
          <w:b/>
          <w:bCs/>
          <w:i/>
          <w:iCs/>
        </w:rPr>
      </w:r>
      <w:r w:rsidR="00C72D5D">
        <w:rPr>
          <w:rFonts w:eastAsia="Calibri"/>
          <w:b/>
          <w:bCs/>
          <w:i/>
          <w:iCs/>
        </w:rPr>
        <w:fldChar w:fldCharType="separate"/>
      </w:r>
      <w:r w:rsidRPr="009564C3">
        <w:rPr>
          <w:rFonts w:eastAsia="Calibri"/>
          <w:b/>
          <w:bCs/>
          <w:i/>
          <w:iCs/>
        </w:rPr>
        <w:fldChar w:fldCharType="end"/>
      </w:r>
      <w:r w:rsidRPr="009564C3">
        <w:rPr>
          <w:rFonts w:eastAsia="Calibri"/>
          <w:b/>
          <w:bCs/>
          <w:i/>
          <w:iCs/>
          <w:lang w:val="en-US"/>
        </w:rPr>
        <w:t>7</w:t>
      </w:r>
      <w:r w:rsidRPr="009564C3">
        <w:rPr>
          <w:rFonts w:eastAsia="Calibri"/>
          <w:lang w:val="en-US"/>
        </w:rPr>
        <w:t xml:space="preserve"> </w:t>
      </w:r>
      <w:r w:rsidRPr="00A54612">
        <w:rPr>
          <w:rFonts w:eastAsia="Calibri"/>
          <w:b/>
          <w:bCs/>
          <w:i/>
          <w:iCs/>
          <w:sz w:val="20"/>
          <w:szCs w:val="20"/>
          <w:lang w:val="en"/>
        </w:rPr>
        <w:t>and for full activation of active power frequency response in frequency step change (explanation for</w:t>
      </w:r>
      <w:r w:rsidR="009564C3">
        <w:rPr>
          <w:rFonts w:eastAsia="Calibri"/>
          <w:b/>
          <w:bCs/>
          <w:i/>
          <w:iCs/>
          <w:sz w:val="20"/>
          <w:szCs w:val="20"/>
          <w:lang w:val="en"/>
        </w:rPr>
        <w:t xml:space="preserve"> Figure</w:t>
      </w:r>
      <w:r w:rsidRPr="00A54612">
        <w:rPr>
          <w:rFonts w:eastAsia="Calibri"/>
          <w:b/>
          <w:bCs/>
          <w:i/>
          <w:iCs/>
          <w:sz w:val="20"/>
          <w:szCs w:val="20"/>
          <w:lang w:val="en"/>
        </w:rPr>
        <w:t xml:space="preserve"> </w:t>
      </w:r>
      <w:r w:rsidRPr="009564C3">
        <w:rPr>
          <w:rFonts w:eastAsia="Calibri"/>
          <w:b/>
          <w:bCs/>
          <w:i/>
          <w:iCs/>
          <w:lang w:val="en-US"/>
        </w:rPr>
        <w:t>8</w:t>
      </w:r>
      <w:r w:rsidRPr="00A54612">
        <w:rPr>
          <w:rFonts w:eastAsia="Calibri"/>
          <w:b/>
          <w:bCs/>
          <w:i/>
          <w:iCs/>
          <w:sz w:val="20"/>
          <w:szCs w:val="20"/>
          <w:lang w:val="en"/>
        </w:rPr>
        <w:t>)</w:t>
      </w:r>
    </w:p>
    <w:tbl>
      <w:tblPr>
        <w:tblStyle w:val="af3"/>
        <w:tblW w:w="0" w:type="auto"/>
        <w:tblLook w:val="04A0" w:firstRow="1" w:lastRow="0" w:firstColumn="1" w:lastColumn="0" w:noHBand="0" w:noVBand="1"/>
      </w:tblPr>
      <w:tblGrid>
        <w:gridCol w:w="4315"/>
        <w:gridCol w:w="4315"/>
      </w:tblGrid>
      <w:tr w:rsidR="00A54612" w:rsidRPr="00A54612" w14:paraId="12F49E12" w14:textId="77777777" w:rsidTr="00172AED">
        <w:tc>
          <w:tcPr>
            <w:tcW w:w="4315" w:type="dxa"/>
            <w:vAlign w:val="center"/>
          </w:tcPr>
          <w:p w14:paraId="2E886297" w14:textId="77777777" w:rsidR="00A54612" w:rsidRPr="00A54612" w:rsidRDefault="00A54612" w:rsidP="00A54612">
            <w:pPr>
              <w:tabs>
                <w:tab w:val="clear" w:pos="1189"/>
              </w:tabs>
              <w:spacing w:before="60" w:line="240" w:lineRule="auto"/>
              <w:ind w:left="720" w:right="0" w:hanging="720"/>
              <w:jc w:val="center"/>
              <w:rPr>
                <w:rFonts w:eastAsia="Calibri"/>
                <w:b/>
                <w:bCs/>
                <w:sz w:val="20"/>
                <w:szCs w:val="20"/>
                <w:lang w:val="en-GB"/>
              </w:rPr>
            </w:pPr>
            <w:r w:rsidRPr="00A54612">
              <w:rPr>
                <w:rFonts w:eastAsia="Calibri"/>
                <w:b/>
                <w:bCs/>
                <w:sz w:val="20"/>
                <w:szCs w:val="20"/>
                <w:lang w:val="en-GB"/>
              </w:rPr>
              <w:t>Parameter</w:t>
            </w:r>
          </w:p>
        </w:tc>
        <w:tc>
          <w:tcPr>
            <w:tcW w:w="4315" w:type="dxa"/>
            <w:vAlign w:val="center"/>
          </w:tcPr>
          <w:p w14:paraId="413B172B" w14:textId="77777777" w:rsidR="00A54612" w:rsidRPr="00A54612" w:rsidRDefault="00A54612" w:rsidP="00A54612">
            <w:pPr>
              <w:tabs>
                <w:tab w:val="clear" w:pos="1189"/>
              </w:tabs>
              <w:spacing w:before="60" w:line="240" w:lineRule="auto"/>
              <w:ind w:left="720" w:right="0" w:hanging="720"/>
              <w:jc w:val="center"/>
              <w:rPr>
                <w:rFonts w:eastAsia="Calibri"/>
                <w:b/>
                <w:bCs/>
                <w:sz w:val="20"/>
                <w:szCs w:val="20"/>
                <w:lang w:val="en-GB"/>
              </w:rPr>
            </w:pPr>
            <w:r w:rsidRPr="00A54612">
              <w:rPr>
                <w:rFonts w:eastAsia="Calibri"/>
                <w:b/>
                <w:bCs/>
                <w:sz w:val="20"/>
                <w:szCs w:val="20"/>
                <w:lang w:val="en-GB"/>
              </w:rPr>
              <w:t>Values and ranges</w:t>
            </w:r>
          </w:p>
        </w:tc>
      </w:tr>
      <w:tr w:rsidR="00A54612" w:rsidRPr="00A54612" w14:paraId="20DF9532" w14:textId="77777777" w:rsidTr="00172AED">
        <w:tc>
          <w:tcPr>
            <w:tcW w:w="4315" w:type="dxa"/>
            <w:shd w:val="clear" w:color="auto" w:fill="auto"/>
            <w:vAlign w:val="center"/>
          </w:tcPr>
          <w:p w14:paraId="4D60DD06" w14:textId="77777777" w:rsidR="00A54612" w:rsidRPr="00A54612" w:rsidRDefault="00A54612" w:rsidP="00A54612">
            <w:pPr>
              <w:tabs>
                <w:tab w:val="clear" w:pos="1189"/>
              </w:tabs>
              <w:spacing w:after="0" w:line="240" w:lineRule="auto"/>
              <w:ind w:left="720" w:right="0" w:hanging="720"/>
              <w:rPr>
                <w:rFonts w:eastAsia="Calibri"/>
                <w:sz w:val="20"/>
                <w:szCs w:val="20"/>
                <w:lang w:val="en-GB"/>
              </w:rPr>
            </w:pPr>
            <w:r w:rsidRPr="00A54612">
              <w:rPr>
                <w:rFonts w:eastAsia="Calibri"/>
                <w:bCs/>
                <w:sz w:val="20"/>
                <w:szCs w:val="20"/>
                <w:lang w:val="en"/>
              </w:rPr>
              <w:t>Active power range|ΔP</w:t>
            </w:r>
            <w:r w:rsidRPr="00A54612">
              <w:rPr>
                <w:rFonts w:eastAsia="Calibri"/>
                <w:bCs/>
                <w:sz w:val="20"/>
                <w:szCs w:val="20"/>
                <w:vertAlign w:val="subscript"/>
                <w:lang w:val="en"/>
              </w:rPr>
              <w:t>1</w:t>
            </w:r>
            <w:r w:rsidRPr="00A54612">
              <w:rPr>
                <w:rFonts w:eastAsia="Calibri"/>
                <w:bCs/>
                <w:sz w:val="20"/>
                <w:szCs w:val="20"/>
                <w:lang w:val="en"/>
              </w:rPr>
              <w:t>|/P</w:t>
            </w:r>
            <w:r w:rsidRPr="00A54612">
              <w:rPr>
                <w:rFonts w:eastAsia="Calibri"/>
                <w:bCs/>
                <w:sz w:val="20"/>
                <w:szCs w:val="20"/>
                <w:vertAlign w:val="subscript"/>
                <w:lang w:val="en"/>
              </w:rPr>
              <w:t>max</w:t>
            </w:r>
          </w:p>
        </w:tc>
        <w:tc>
          <w:tcPr>
            <w:tcW w:w="4315" w:type="dxa"/>
            <w:shd w:val="clear" w:color="auto" w:fill="auto"/>
            <w:vAlign w:val="center"/>
          </w:tcPr>
          <w:p w14:paraId="180C09C5" w14:textId="77777777" w:rsidR="00A54612" w:rsidRPr="00A54612" w:rsidRDefault="00A54612" w:rsidP="00A54612">
            <w:pPr>
              <w:tabs>
                <w:tab w:val="clear" w:pos="1189"/>
              </w:tabs>
              <w:spacing w:after="0" w:line="240" w:lineRule="auto"/>
              <w:ind w:right="0"/>
              <w:jc w:val="left"/>
              <w:rPr>
                <w:rFonts w:eastAsia="Calibri"/>
                <w:sz w:val="20"/>
                <w:szCs w:val="20"/>
              </w:rPr>
            </w:pPr>
            <w:r w:rsidRPr="00A54612">
              <w:rPr>
                <w:rFonts w:eastAsia="Calibri"/>
                <w:sz w:val="20"/>
                <w:szCs w:val="20"/>
                <w:lang w:val="en"/>
              </w:rPr>
              <w:t xml:space="preserve">1,5-100% of Pmax </w:t>
            </w:r>
          </w:p>
        </w:tc>
      </w:tr>
      <w:tr w:rsidR="00A54612" w:rsidRPr="00C72D5D" w14:paraId="77311877" w14:textId="77777777" w:rsidTr="00172AED">
        <w:tc>
          <w:tcPr>
            <w:tcW w:w="4315" w:type="dxa"/>
            <w:shd w:val="clear" w:color="auto" w:fill="auto"/>
            <w:vAlign w:val="center"/>
          </w:tcPr>
          <w:p w14:paraId="3C6B75B5" w14:textId="77777777" w:rsidR="00A54612" w:rsidRPr="00A54612" w:rsidRDefault="00A54612" w:rsidP="00A54612">
            <w:pPr>
              <w:tabs>
                <w:tab w:val="clear" w:pos="1189"/>
              </w:tabs>
              <w:spacing w:after="0" w:line="240" w:lineRule="auto"/>
              <w:ind w:left="720" w:right="0" w:hanging="720"/>
              <w:rPr>
                <w:rFonts w:eastAsia="Calibri"/>
                <w:sz w:val="20"/>
                <w:szCs w:val="20"/>
                <w:lang w:val="en-GB"/>
              </w:rPr>
            </w:pPr>
            <w:r w:rsidRPr="00A54612">
              <w:rPr>
                <w:rFonts w:eastAsia="Calibri"/>
                <w:bCs/>
                <w:sz w:val="20"/>
                <w:szCs w:val="20"/>
                <w:lang w:val="en"/>
              </w:rPr>
              <w:t>Droop</w:t>
            </w:r>
          </w:p>
        </w:tc>
        <w:tc>
          <w:tcPr>
            <w:tcW w:w="4315" w:type="dxa"/>
            <w:shd w:val="clear" w:color="auto" w:fill="auto"/>
            <w:vAlign w:val="center"/>
          </w:tcPr>
          <w:p w14:paraId="018F72BB" w14:textId="77777777" w:rsidR="00A54612" w:rsidRPr="00A54612" w:rsidRDefault="00A54612" w:rsidP="00A54612">
            <w:pPr>
              <w:tabs>
                <w:tab w:val="clear" w:pos="1189"/>
              </w:tabs>
              <w:spacing w:after="0" w:line="240" w:lineRule="auto"/>
              <w:ind w:right="0"/>
              <w:jc w:val="left"/>
              <w:rPr>
                <w:rFonts w:eastAsia="Calibri"/>
                <w:sz w:val="20"/>
                <w:szCs w:val="20"/>
                <w:lang w:val="en"/>
              </w:rPr>
            </w:pPr>
            <w:r w:rsidRPr="00A54612">
              <w:rPr>
                <w:rFonts w:eastAsia="Calibri"/>
                <w:sz w:val="20"/>
                <w:szCs w:val="20"/>
                <w:lang w:val="en"/>
              </w:rPr>
              <w:t xml:space="preserve">adjustable between 0,2-27% to guarantee full activation of |ΔP1|/Pmax for maximum frequency activation 200 mHz; </w:t>
            </w:r>
          </w:p>
        </w:tc>
      </w:tr>
      <w:tr w:rsidR="00A54612" w:rsidRPr="00A54612" w14:paraId="498CE321" w14:textId="77777777" w:rsidTr="00172AED">
        <w:tc>
          <w:tcPr>
            <w:tcW w:w="4315" w:type="dxa"/>
            <w:shd w:val="clear" w:color="auto" w:fill="auto"/>
            <w:vAlign w:val="center"/>
          </w:tcPr>
          <w:p w14:paraId="318497B3" w14:textId="77777777" w:rsidR="00A54612" w:rsidRPr="00A54612" w:rsidRDefault="00A54612" w:rsidP="00A54612">
            <w:pPr>
              <w:tabs>
                <w:tab w:val="clear" w:pos="1189"/>
              </w:tabs>
              <w:spacing w:after="0" w:line="240" w:lineRule="auto"/>
              <w:ind w:right="0"/>
              <w:jc w:val="left"/>
              <w:rPr>
                <w:rFonts w:eastAsia="Calibri"/>
                <w:sz w:val="20"/>
                <w:szCs w:val="20"/>
                <w:lang w:val="en-GB"/>
              </w:rPr>
            </w:pPr>
            <w:r w:rsidRPr="00A54612">
              <w:rPr>
                <w:rFonts w:eastAsia="Calibri"/>
                <w:sz w:val="20"/>
                <w:szCs w:val="20"/>
                <w:lang w:val="en"/>
              </w:rPr>
              <w:t>Combined effect of frequency response insensitivity (|Δf</w:t>
            </w:r>
            <w:r w:rsidRPr="00A54612">
              <w:rPr>
                <w:rFonts w:eastAsia="Calibri"/>
                <w:sz w:val="20"/>
                <w:szCs w:val="20"/>
                <w:vertAlign w:val="subscript"/>
                <w:lang w:val="en"/>
              </w:rPr>
              <w:t>i</w:t>
            </w:r>
            <w:r w:rsidRPr="00A54612">
              <w:rPr>
                <w:rFonts w:eastAsia="Calibri"/>
                <w:sz w:val="20"/>
                <w:szCs w:val="20"/>
                <w:lang w:val="en"/>
              </w:rPr>
              <w:t>|, |Δf</w:t>
            </w:r>
            <w:r w:rsidRPr="00A54612">
              <w:rPr>
                <w:rFonts w:eastAsia="Calibri"/>
                <w:sz w:val="20"/>
                <w:szCs w:val="20"/>
                <w:vertAlign w:val="subscript"/>
                <w:lang w:val="en"/>
              </w:rPr>
              <w:t>i</w:t>
            </w:r>
            <w:r w:rsidRPr="00A54612">
              <w:rPr>
                <w:rFonts w:eastAsia="Calibri"/>
                <w:sz w:val="20"/>
                <w:szCs w:val="20"/>
                <w:lang w:val="en"/>
              </w:rPr>
              <w:t>|/f</w:t>
            </w:r>
            <w:r w:rsidRPr="00A54612">
              <w:rPr>
                <w:rFonts w:eastAsia="Calibri"/>
                <w:sz w:val="20"/>
                <w:szCs w:val="20"/>
                <w:vertAlign w:val="subscript"/>
                <w:lang w:val="en"/>
              </w:rPr>
              <w:t>n</w:t>
            </w:r>
            <w:r w:rsidRPr="00A54612">
              <w:rPr>
                <w:rFonts w:eastAsia="Calibri"/>
                <w:sz w:val="20"/>
                <w:szCs w:val="20"/>
                <w:lang w:val="en"/>
              </w:rPr>
              <w:t xml:space="preserve">) &amp; dead band </w:t>
            </w:r>
          </w:p>
        </w:tc>
        <w:tc>
          <w:tcPr>
            <w:tcW w:w="4315" w:type="dxa"/>
            <w:shd w:val="clear" w:color="auto" w:fill="auto"/>
            <w:vAlign w:val="center"/>
          </w:tcPr>
          <w:p w14:paraId="46BC86D1" w14:textId="77777777" w:rsidR="00A54612" w:rsidRPr="00A54612" w:rsidRDefault="00A54612" w:rsidP="00A54612">
            <w:pPr>
              <w:tabs>
                <w:tab w:val="clear" w:pos="1189"/>
              </w:tabs>
              <w:spacing w:after="0" w:line="240" w:lineRule="auto"/>
              <w:ind w:left="720" w:right="0" w:hanging="720"/>
              <w:rPr>
                <w:rFonts w:eastAsia="Calibri"/>
                <w:sz w:val="20"/>
                <w:szCs w:val="20"/>
                <w:lang w:val="en-GB"/>
              </w:rPr>
            </w:pPr>
            <w:r w:rsidRPr="00A54612">
              <w:rPr>
                <w:rFonts w:eastAsia="Calibri"/>
                <w:bCs/>
                <w:sz w:val="20"/>
                <w:szCs w:val="20"/>
                <w:lang w:val="en"/>
              </w:rPr>
              <w:t>max ±10mHz, (0.02% p.u.)</w:t>
            </w:r>
          </w:p>
        </w:tc>
      </w:tr>
      <w:tr w:rsidR="00A54612" w:rsidRPr="00C72D5D" w14:paraId="0EF91CD7" w14:textId="77777777" w:rsidTr="00172AED">
        <w:tc>
          <w:tcPr>
            <w:tcW w:w="4315" w:type="dxa"/>
            <w:shd w:val="clear" w:color="auto" w:fill="auto"/>
            <w:vAlign w:val="center"/>
          </w:tcPr>
          <w:p w14:paraId="3CF255B6" w14:textId="77777777" w:rsidR="00A54612" w:rsidRPr="00A54612" w:rsidRDefault="00A54612" w:rsidP="00A54612">
            <w:pPr>
              <w:tabs>
                <w:tab w:val="clear" w:pos="1189"/>
              </w:tabs>
              <w:spacing w:after="0" w:line="240" w:lineRule="auto"/>
              <w:ind w:left="720" w:right="0" w:hanging="720"/>
              <w:rPr>
                <w:rFonts w:eastAsia="Calibri"/>
                <w:sz w:val="20"/>
                <w:szCs w:val="20"/>
                <w:lang w:val="en-GB"/>
              </w:rPr>
            </w:pPr>
            <w:r w:rsidRPr="00A54612">
              <w:rPr>
                <w:rFonts w:eastAsia="Calibri"/>
                <w:bCs/>
                <w:sz w:val="20"/>
                <w:szCs w:val="20"/>
                <w:lang w:val="en"/>
              </w:rPr>
              <w:t>FSM frequency response range</w:t>
            </w:r>
          </w:p>
        </w:tc>
        <w:tc>
          <w:tcPr>
            <w:tcW w:w="4315" w:type="dxa"/>
            <w:shd w:val="clear" w:color="auto" w:fill="auto"/>
            <w:vAlign w:val="center"/>
          </w:tcPr>
          <w:p w14:paraId="37CEF019" w14:textId="77777777" w:rsidR="00A54612" w:rsidRPr="00A54612" w:rsidRDefault="00A54612" w:rsidP="00A54612">
            <w:pPr>
              <w:tabs>
                <w:tab w:val="clear" w:pos="1189"/>
              </w:tabs>
              <w:spacing w:after="0" w:line="240" w:lineRule="auto"/>
              <w:ind w:left="720" w:right="0" w:hanging="720"/>
              <w:jc w:val="left"/>
              <w:rPr>
                <w:rFonts w:eastAsia="Calibri"/>
                <w:bCs/>
                <w:sz w:val="20"/>
                <w:szCs w:val="20"/>
                <w:lang w:val="en"/>
              </w:rPr>
            </w:pPr>
            <w:r w:rsidRPr="00A54612">
              <w:rPr>
                <w:rFonts w:eastAsia="Calibri"/>
                <w:bCs/>
                <w:sz w:val="20"/>
                <w:szCs w:val="20"/>
                <w:lang w:val="en"/>
              </w:rPr>
              <w:t>adjustable, between 0-500 </w:t>
            </w:r>
            <w:proofErr w:type="gramStart"/>
            <w:r w:rsidRPr="00A54612">
              <w:rPr>
                <w:rFonts w:eastAsia="Calibri"/>
                <w:bCs/>
                <w:sz w:val="20"/>
                <w:szCs w:val="20"/>
                <w:lang w:val="en"/>
              </w:rPr>
              <w:t>mHz;</w:t>
            </w:r>
            <w:proofErr w:type="gramEnd"/>
            <w:r w:rsidRPr="00A54612">
              <w:rPr>
                <w:rFonts w:eastAsia="Calibri"/>
                <w:bCs/>
                <w:sz w:val="20"/>
                <w:szCs w:val="20"/>
                <w:lang w:val="en"/>
              </w:rPr>
              <w:t xml:space="preserve"> </w:t>
            </w:r>
          </w:p>
          <w:p w14:paraId="18DDC5C7" w14:textId="77777777" w:rsidR="00A54612" w:rsidRPr="00A54612" w:rsidRDefault="00A54612" w:rsidP="00A54612">
            <w:pPr>
              <w:tabs>
                <w:tab w:val="clear" w:pos="1189"/>
              </w:tabs>
              <w:spacing w:after="0" w:line="240" w:lineRule="auto"/>
              <w:ind w:left="720" w:right="0" w:hanging="720"/>
              <w:rPr>
                <w:rFonts w:eastAsia="Calibri"/>
                <w:sz w:val="20"/>
                <w:szCs w:val="20"/>
                <w:lang w:val="en-GB"/>
              </w:rPr>
            </w:pPr>
            <w:r w:rsidRPr="00A54612">
              <w:rPr>
                <w:rFonts w:eastAsia="Calibri"/>
                <w:bCs/>
                <w:sz w:val="20"/>
                <w:szCs w:val="20"/>
                <w:lang w:val="en"/>
              </w:rPr>
              <w:t>default value 200mHz</w:t>
            </w:r>
          </w:p>
        </w:tc>
      </w:tr>
      <w:tr w:rsidR="00A54612" w:rsidRPr="00C72D5D" w14:paraId="4658F5DF" w14:textId="77777777" w:rsidTr="00172AED">
        <w:tc>
          <w:tcPr>
            <w:tcW w:w="4315" w:type="dxa"/>
            <w:shd w:val="clear" w:color="auto" w:fill="auto"/>
            <w:vAlign w:val="center"/>
          </w:tcPr>
          <w:p w14:paraId="05D42AC4" w14:textId="77777777" w:rsidR="00A54612" w:rsidRPr="00A54612" w:rsidRDefault="00A54612" w:rsidP="00A54612">
            <w:pPr>
              <w:tabs>
                <w:tab w:val="clear" w:pos="1189"/>
              </w:tabs>
              <w:spacing w:after="0" w:line="240" w:lineRule="auto"/>
              <w:ind w:left="720" w:right="0" w:hanging="720"/>
              <w:rPr>
                <w:rFonts w:eastAsia="Calibri"/>
                <w:sz w:val="20"/>
                <w:szCs w:val="20"/>
                <w:lang w:val="en-GB"/>
              </w:rPr>
            </w:pPr>
            <w:r w:rsidRPr="00A54612">
              <w:rPr>
                <w:rFonts w:eastAsia="Calibri"/>
                <w:bCs/>
                <w:sz w:val="20"/>
                <w:szCs w:val="20"/>
                <w:lang w:val="en"/>
              </w:rPr>
              <w:t>Maximum initial delay of FSM activation (t</w:t>
            </w:r>
            <w:r w:rsidRPr="00A54612">
              <w:rPr>
                <w:rFonts w:eastAsia="Calibri"/>
                <w:bCs/>
                <w:sz w:val="20"/>
                <w:szCs w:val="20"/>
                <w:vertAlign w:val="subscript"/>
                <w:lang w:val="en"/>
              </w:rPr>
              <w:t>1</w:t>
            </w:r>
            <w:r w:rsidRPr="00A54612">
              <w:rPr>
                <w:rFonts w:eastAsia="Calibri"/>
                <w:bCs/>
                <w:sz w:val="20"/>
                <w:szCs w:val="20"/>
                <w:lang w:val="en"/>
              </w:rPr>
              <w:t>)</w:t>
            </w:r>
          </w:p>
        </w:tc>
        <w:tc>
          <w:tcPr>
            <w:tcW w:w="4315" w:type="dxa"/>
            <w:shd w:val="clear" w:color="auto" w:fill="auto"/>
            <w:vAlign w:val="center"/>
          </w:tcPr>
          <w:p w14:paraId="37795FB2" w14:textId="77777777" w:rsidR="00A54612" w:rsidRPr="00A54612" w:rsidRDefault="00A54612" w:rsidP="00A54612">
            <w:pPr>
              <w:tabs>
                <w:tab w:val="clear" w:pos="1189"/>
              </w:tabs>
              <w:spacing w:after="0" w:line="240" w:lineRule="auto"/>
              <w:ind w:left="720" w:right="0" w:hanging="720"/>
              <w:rPr>
                <w:rFonts w:eastAsia="Calibri"/>
                <w:sz w:val="20"/>
                <w:szCs w:val="20"/>
                <w:lang w:val="en-GB"/>
              </w:rPr>
            </w:pPr>
            <w:r w:rsidRPr="00A54612">
              <w:rPr>
                <w:rFonts w:eastAsia="Calibri"/>
                <w:bCs/>
                <w:sz w:val="20"/>
                <w:szCs w:val="20"/>
                <w:lang w:val="en"/>
              </w:rPr>
              <w:t>t</w:t>
            </w:r>
            <w:r w:rsidRPr="00A54612">
              <w:rPr>
                <w:rFonts w:eastAsia="Calibri"/>
                <w:bCs/>
                <w:sz w:val="20"/>
                <w:szCs w:val="20"/>
                <w:vertAlign w:val="subscript"/>
                <w:lang w:val="en"/>
              </w:rPr>
              <w:t>1</w:t>
            </w:r>
            <w:r w:rsidRPr="00A54612">
              <w:rPr>
                <w:rFonts w:eastAsia="Calibri"/>
                <w:bCs/>
                <w:sz w:val="20"/>
                <w:szCs w:val="20"/>
                <w:lang w:val="en"/>
              </w:rPr>
              <w:t>≤ 1s (to be justified if &gt; 1s)</w:t>
            </w:r>
          </w:p>
        </w:tc>
      </w:tr>
      <w:tr w:rsidR="00A54612" w:rsidRPr="00A54612" w14:paraId="46901DFF" w14:textId="77777777" w:rsidTr="00172AED">
        <w:tc>
          <w:tcPr>
            <w:tcW w:w="4315" w:type="dxa"/>
            <w:shd w:val="clear" w:color="auto" w:fill="auto"/>
            <w:vAlign w:val="center"/>
          </w:tcPr>
          <w:p w14:paraId="5DDD4D6B" w14:textId="77777777" w:rsidR="00A54612" w:rsidRPr="00A54612" w:rsidRDefault="00A54612" w:rsidP="00A54612">
            <w:pPr>
              <w:tabs>
                <w:tab w:val="clear" w:pos="1189"/>
              </w:tabs>
              <w:spacing w:after="0" w:line="240" w:lineRule="auto"/>
              <w:ind w:left="720" w:right="0" w:hanging="720"/>
              <w:rPr>
                <w:rFonts w:eastAsia="Calibri"/>
                <w:sz w:val="20"/>
                <w:szCs w:val="20"/>
                <w:lang w:val="en-GB"/>
              </w:rPr>
            </w:pPr>
            <w:r w:rsidRPr="00A54612">
              <w:rPr>
                <w:rFonts w:eastAsia="Calibri"/>
                <w:bCs/>
                <w:sz w:val="20"/>
                <w:szCs w:val="20"/>
                <w:lang w:val="en"/>
              </w:rPr>
              <w:t>Maximum delay of FSM full activation (t</w:t>
            </w:r>
            <w:r w:rsidRPr="00A54612">
              <w:rPr>
                <w:rFonts w:eastAsia="Calibri"/>
                <w:bCs/>
                <w:sz w:val="20"/>
                <w:szCs w:val="20"/>
                <w:vertAlign w:val="subscript"/>
                <w:lang w:val="en"/>
              </w:rPr>
              <w:t>2</w:t>
            </w:r>
            <w:r w:rsidRPr="00A54612">
              <w:rPr>
                <w:rFonts w:eastAsia="Calibri"/>
                <w:bCs/>
                <w:sz w:val="20"/>
                <w:szCs w:val="20"/>
                <w:lang w:val="en"/>
              </w:rPr>
              <w:t>)</w:t>
            </w:r>
          </w:p>
        </w:tc>
        <w:tc>
          <w:tcPr>
            <w:tcW w:w="4315" w:type="dxa"/>
            <w:shd w:val="clear" w:color="auto" w:fill="auto"/>
            <w:vAlign w:val="center"/>
          </w:tcPr>
          <w:p w14:paraId="0DEFE0CF" w14:textId="77777777" w:rsidR="00A54612" w:rsidRPr="00A54612" w:rsidRDefault="00A54612" w:rsidP="00A54612">
            <w:pPr>
              <w:tabs>
                <w:tab w:val="clear" w:pos="1189"/>
              </w:tabs>
              <w:spacing w:after="0" w:line="240" w:lineRule="auto"/>
              <w:ind w:left="720" w:right="0" w:hanging="720"/>
              <w:rPr>
                <w:rFonts w:eastAsia="Calibri"/>
                <w:sz w:val="20"/>
                <w:szCs w:val="20"/>
                <w:lang w:val="en-GB"/>
              </w:rPr>
            </w:pPr>
            <w:r w:rsidRPr="00A54612">
              <w:rPr>
                <w:rFonts w:eastAsia="Calibri"/>
                <w:bCs/>
                <w:sz w:val="20"/>
                <w:szCs w:val="20"/>
                <w:lang w:val="en"/>
              </w:rPr>
              <w:t>t</w:t>
            </w:r>
            <w:r w:rsidRPr="00A54612">
              <w:rPr>
                <w:rFonts w:eastAsia="Calibri"/>
                <w:bCs/>
                <w:sz w:val="20"/>
                <w:szCs w:val="20"/>
                <w:vertAlign w:val="subscript"/>
                <w:lang w:val="en"/>
              </w:rPr>
              <w:t>2</w:t>
            </w:r>
            <w:r w:rsidRPr="00A54612">
              <w:rPr>
                <w:rFonts w:eastAsia="Calibri"/>
                <w:bCs/>
                <w:sz w:val="20"/>
                <w:szCs w:val="20"/>
                <w:lang w:val="en"/>
              </w:rPr>
              <w:t xml:space="preserve"> ≤ 30s</w:t>
            </w:r>
          </w:p>
        </w:tc>
      </w:tr>
    </w:tbl>
    <w:p w14:paraId="21DB8D57"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p>
    <w:p w14:paraId="7ECA03F0"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p>
    <w:p w14:paraId="27061D61" w14:textId="77777777" w:rsidR="00A54612" w:rsidRPr="00A54612" w:rsidRDefault="00A54612" w:rsidP="00A54612">
      <w:pPr>
        <w:widowControl/>
        <w:tabs>
          <w:tab w:val="clear" w:pos="1189"/>
        </w:tabs>
        <w:autoSpaceDE/>
        <w:autoSpaceDN/>
        <w:spacing w:after="120" w:line="240" w:lineRule="auto"/>
        <w:ind w:left="-90" w:right="0"/>
        <w:jc w:val="center"/>
        <w:rPr>
          <w:rFonts w:eastAsia="Calibri"/>
          <w:szCs w:val="20"/>
          <w:lang w:val="en-GB"/>
        </w:rPr>
      </w:pPr>
      <w:r w:rsidRPr="00A54612">
        <w:rPr>
          <w:rFonts w:ascii="Calibri" w:eastAsia="Calibri" w:hAnsi="Calibri" w:cs="Calibri"/>
          <w:lang w:val="en-US"/>
        </w:rPr>
        <w:object w:dxaOrig="9871" w:dyaOrig="5926" w14:anchorId="5248C759">
          <v:shape id="_x0000_i1028" type="#_x0000_t75" style="width:6in;height:259.5pt" o:ole="">
            <v:imagedata r:id="rId44" o:title=""/>
          </v:shape>
          <o:OLEObject Type="Embed" ProgID="Visio.Drawing.15" ShapeID="_x0000_i1028" DrawAspect="Content" ObjectID="_1748444576" r:id="rId45"/>
        </w:object>
      </w:r>
    </w:p>
    <w:p w14:paraId="30A1CA36"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r w:rsidRPr="00A54612">
        <w:rPr>
          <w:rFonts w:eastAsia="Calibri"/>
          <w:b/>
          <w:bCs/>
          <w:i/>
          <w:iCs/>
          <w:sz w:val="20"/>
          <w:szCs w:val="20"/>
          <w:lang w:val="en"/>
        </w:rPr>
        <w:t xml:space="preserve">Figure 7: </w:t>
      </w:r>
      <w:r w:rsidRPr="00A54612">
        <w:rPr>
          <w:rFonts w:eastAsia="Calibri"/>
          <w:b/>
          <w:bCs/>
          <w:i/>
          <w:iCs/>
          <w:sz w:val="20"/>
          <w:szCs w:val="20"/>
          <w:lang w:val="en-US"/>
        </w:rPr>
        <w:t>Active power frequency response capability of an ESM in FSM in the case of zero dead-band and zero insensitivity</w:t>
      </w:r>
    </w:p>
    <w:p w14:paraId="49D74764"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p>
    <w:p w14:paraId="62DAB5FF"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The active power – frequency droop has the same value for both directions of active power adjustment (increase or decrease) while the droop reference active power (Pref) is by default the maximum capacity of the ESM (Pmax).</w:t>
      </w:r>
    </w:p>
    <w:p w14:paraId="7B84DC56" w14:textId="6C9D8B3D"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 xml:space="preserve">The ESM shall be capable of activating full active power frequency response at or above the full line shown in </w:t>
      </w:r>
      <w:r w:rsidRPr="002D6FE3">
        <w:rPr>
          <w:rFonts w:eastAsia="Calibri"/>
        </w:rPr>
        <w:fldChar w:fldCharType="begin"/>
      </w:r>
      <w:r w:rsidRPr="008F67BA">
        <w:rPr>
          <w:rFonts w:eastAsia="Calibri"/>
          <w:lang w:val="en-US"/>
        </w:rPr>
        <w:instrText xml:space="preserve"> REF _Ref127278238 \h  \* MERGEFORMAT </w:instrText>
      </w:r>
      <w:r w:rsidRPr="002D6FE3">
        <w:rPr>
          <w:rFonts w:eastAsia="Calibri"/>
        </w:rPr>
      </w:r>
      <w:r w:rsidRPr="002D6FE3">
        <w:rPr>
          <w:rFonts w:eastAsia="Calibri"/>
        </w:rPr>
        <w:fldChar w:fldCharType="separate"/>
      </w:r>
      <w:r w:rsidR="002D6FE3" w:rsidRPr="008F67BA">
        <w:rPr>
          <w:rFonts w:eastAsia="Calibri"/>
          <w:lang w:val="en-US"/>
        </w:rPr>
        <w:t>Figure</w:t>
      </w:r>
      <w:r w:rsidRPr="002D6FE3">
        <w:rPr>
          <w:rFonts w:eastAsia="Calibri"/>
        </w:rPr>
        <w:fldChar w:fldCharType="end"/>
      </w:r>
      <w:r w:rsidR="002D6FE3">
        <w:rPr>
          <w:rFonts w:eastAsia="Calibri"/>
          <w:szCs w:val="20"/>
          <w:lang w:val="en-GB"/>
        </w:rPr>
        <w:t xml:space="preserve"> </w:t>
      </w:r>
      <w:r w:rsidRPr="00A54612">
        <w:rPr>
          <w:rFonts w:eastAsia="Calibri"/>
          <w:szCs w:val="20"/>
          <w:lang w:val="en-GB"/>
        </w:rPr>
        <w:t xml:space="preserve">8 and fully exploit FCR at a quasi-steady system frequency deviation of ±200mHz. </w:t>
      </w:r>
    </w:p>
    <w:p w14:paraId="3305D43E"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 xml:space="preserve">The ESM active power control system should allow for the implementation of different droop values according to IPTO’s needs (adjustable droop between 0,2-27%, </w:t>
      </w:r>
      <w:proofErr w:type="gramStart"/>
      <w:r w:rsidRPr="00A54612">
        <w:rPr>
          <w:rFonts w:eastAsia="Calibri"/>
          <w:szCs w:val="20"/>
          <w:lang w:val="en-GB"/>
        </w:rPr>
        <w:t>so as to</w:t>
      </w:r>
      <w:proofErr w:type="gramEnd"/>
      <w:r w:rsidRPr="00A54612">
        <w:rPr>
          <w:rFonts w:eastAsia="Calibri"/>
          <w:szCs w:val="20"/>
          <w:lang w:val="en-GB"/>
        </w:rPr>
        <w:t xml:space="preserve"> guarantee </w:t>
      </w:r>
      <w:r w:rsidRPr="00A54612">
        <w:rPr>
          <w:rFonts w:eastAsia="Calibri"/>
          <w:lang w:val="en"/>
        </w:rPr>
        <w:t>|ΔP1|/Pmax for maximum the frequency activation of ±200 mHz</w:t>
      </w:r>
      <w:r w:rsidRPr="00A54612">
        <w:rPr>
          <w:rFonts w:eastAsia="Calibri"/>
          <w:szCs w:val="20"/>
          <w:lang w:val="en-GB"/>
        </w:rPr>
        <w:t xml:space="preserve">) while should allow for the implementation of FSM operating mode within any frequency range between 49,5 Hz and 50,5 Hz excluded. </w:t>
      </w:r>
    </w:p>
    <w:p w14:paraId="01AC11E3"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The initial delay of active power frequency response t</w:t>
      </w:r>
      <w:r w:rsidRPr="00A54612">
        <w:rPr>
          <w:rFonts w:eastAsia="Calibri"/>
          <w:szCs w:val="20"/>
          <w:vertAlign w:val="subscript"/>
          <w:lang w:val="en-GB"/>
        </w:rPr>
        <w:t>1</w:t>
      </w:r>
      <w:r w:rsidRPr="00A54612">
        <w:rPr>
          <w:rFonts w:eastAsia="Calibri"/>
          <w:szCs w:val="20"/>
          <w:lang w:val="en-GB"/>
        </w:rPr>
        <w:t xml:space="preserve"> should be less than 1sec and shall not intentionally delayed. The ESM owner should justify any time delay greater than t</w:t>
      </w:r>
      <w:r w:rsidRPr="00A54612">
        <w:rPr>
          <w:rFonts w:eastAsia="Calibri"/>
          <w:szCs w:val="20"/>
          <w:vertAlign w:val="subscript"/>
          <w:lang w:val="en-GB"/>
        </w:rPr>
        <w:t>1</w:t>
      </w:r>
      <w:r w:rsidRPr="00A54612">
        <w:rPr>
          <w:rFonts w:eastAsia="Calibri"/>
          <w:szCs w:val="20"/>
          <w:lang w:val="en-GB"/>
        </w:rPr>
        <w:t xml:space="preserve">=1sec by providing technical evidence to IPTO. </w:t>
      </w:r>
    </w:p>
    <w:p w14:paraId="4136F041"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The active power frequency response should be fully supplied and the FCR should be fully exploited within a time t</w:t>
      </w:r>
      <w:r w:rsidRPr="00A54612">
        <w:rPr>
          <w:rFonts w:eastAsia="Calibri"/>
          <w:szCs w:val="20"/>
          <w:vertAlign w:val="subscript"/>
          <w:lang w:val="en-GB"/>
        </w:rPr>
        <w:t>2</w:t>
      </w:r>
      <w:r w:rsidRPr="00A54612">
        <w:rPr>
          <w:rFonts w:eastAsia="Calibri"/>
          <w:szCs w:val="20"/>
          <w:lang w:val="en-GB"/>
        </w:rPr>
        <w:t xml:space="preserve"> of less than 30sec. </w:t>
      </w:r>
    </w:p>
    <w:p w14:paraId="73ABCFB2"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 xml:space="preserve">The supply of full active power frequency response should be maintained for a period of at least 15 min after its full deployment unless this is limited by the energy content that the ESM can store. </w:t>
      </w:r>
    </w:p>
    <w:p w14:paraId="214BC798"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The FCR must be available again 15 min after activation assuming that the nominal frequency has been attained unless this is limited by the energy content that the ESM can store or as agreed between the power generating facility and IPTO.</w:t>
      </w:r>
    </w:p>
    <w:p w14:paraId="7334C34B" w14:textId="77777777" w:rsidR="00A54612" w:rsidRPr="00A54612" w:rsidRDefault="00A54612" w:rsidP="00A54612">
      <w:pPr>
        <w:widowControl/>
        <w:tabs>
          <w:tab w:val="clear" w:pos="1189"/>
        </w:tabs>
        <w:autoSpaceDE/>
        <w:autoSpaceDN/>
        <w:spacing w:after="120" w:line="240" w:lineRule="auto"/>
        <w:ind w:left="-90" w:right="0"/>
        <w:rPr>
          <w:rFonts w:eastAsia="Calibri"/>
          <w:szCs w:val="20"/>
          <w:lang w:val="en-GB"/>
        </w:rPr>
      </w:pPr>
      <w:r w:rsidRPr="00A54612">
        <w:rPr>
          <w:rFonts w:eastAsia="Calibri"/>
          <w:szCs w:val="20"/>
          <w:lang w:val="en-GB"/>
        </w:rPr>
        <w:t>Within the time limits laid down in Table 5, active power control must not have any adverse impact (e.g., appearance of poorly damped active power oscillations) on the active power frequency response of ESMs.</w:t>
      </w:r>
    </w:p>
    <w:p w14:paraId="4A351379"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p>
    <w:p w14:paraId="7138F347" w14:textId="77777777" w:rsidR="00A54612" w:rsidRPr="00A54612" w:rsidRDefault="00A54612" w:rsidP="00A54612">
      <w:pPr>
        <w:widowControl/>
        <w:tabs>
          <w:tab w:val="clear" w:pos="1189"/>
        </w:tabs>
        <w:autoSpaceDE/>
        <w:autoSpaceDN/>
        <w:spacing w:after="120" w:line="240" w:lineRule="auto"/>
        <w:ind w:right="0"/>
        <w:jc w:val="center"/>
        <w:rPr>
          <w:rFonts w:eastAsia="Calibri"/>
          <w:szCs w:val="20"/>
          <w:lang w:val="en-GB"/>
        </w:rPr>
      </w:pPr>
      <w:r w:rsidRPr="00A54612">
        <w:rPr>
          <w:rFonts w:ascii="Calibri" w:eastAsia="Calibri" w:hAnsi="Calibri" w:cs="Calibri"/>
          <w:lang w:val="en-US"/>
        </w:rPr>
        <w:object w:dxaOrig="8730" w:dyaOrig="6645" w14:anchorId="4D1479E6">
          <v:shape id="_x0000_i1029" type="#_x0000_t75" style="width:352.5pt;height:265.5pt" o:ole="">
            <v:imagedata r:id="rId46" o:title=""/>
          </v:shape>
          <o:OLEObject Type="Embed" ProgID="Visio.Drawing.11" ShapeID="_x0000_i1029" DrawAspect="Content" ObjectID="_1748444577" r:id="rId47"/>
        </w:object>
      </w:r>
    </w:p>
    <w:p w14:paraId="30D9E155"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r w:rsidRPr="00A54612">
        <w:rPr>
          <w:rFonts w:eastAsia="Calibri"/>
          <w:b/>
          <w:bCs/>
          <w:i/>
          <w:iCs/>
          <w:sz w:val="20"/>
          <w:szCs w:val="20"/>
          <w:lang w:val="en"/>
        </w:rPr>
        <w:t>Figure 8: Active power frequency response capability of an ESM in a step frequency dip</w:t>
      </w:r>
    </w:p>
    <w:p w14:paraId="31A63B25"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p>
    <w:p w14:paraId="5137B5EF"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GB"/>
        </w:rPr>
        <w:t xml:space="preserve">Regarding frequency restoration control, the active power control system of the ESM shall provide functionalities complying with specifications provided by IPTO, aiming at restoring frequency to its nominal value or maintaining power exchange flows between control areas at their scheduled values. </w:t>
      </w:r>
    </w:p>
    <w:p w14:paraId="614B7434"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GB"/>
        </w:rPr>
        <w:t>In case of underfrequency, ESMs in charging mode shall be capable of disconnecting. This requirement does not extend to auxiliary load supply.</w:t>
      </w:r>
    </w:p>
    <w:p w14:paraId="26B5DBB0" w14:textId="5204B5C1" w:rsidR="00A54612" w:rsidRPr="00A54612" w:rsidRDefault="007A3E7A" w:rsidP="00A54612">
      <w:pPr>
        <w:keepNext/>
        <w:keepLines/>
        <w:widowControl/>
        <w:numPr>
          <w:ilvl w:val="1"/>
          <w:numId w:val="0"/>
        </w:numPr>
        <w:tabs>
          <w:tab w:val="clear" w:pos="1189"/>
        </w:tabs>
        <w:autoSpaceDE/>
        <w:autoSpaceDN/>
        <w:spacing w:before="360" w:after="360" w:line="240" w:lineRule="auto"/>
        <w:ind w:left="578" w:right="0" w:hanging="578"/>
        <w:jc w:val="left"/>
        <w:outlineLvl w:val="1"/>
        <w:rPr>
          <w:b/>
          <w:sz w:val="28"/>
          <w:szCs w:val="28"/>
          <w:lang w:val="en-US"/>
        </w:rPr>
      </w:pPr>
      <w:bookmarkStart w:id="67" w:name="_Toc137323492"/>
      <w:r w:rsidRPr="007A3E7A">
        <w:rPr>
          <w:b/>
          <w:sz w:val="28"/>
          <w:szCs w:val="28"/>
          <w:lang w:val="en-US"/>
        </w:rPr>
        <w:t xml:space="preserve">4.3 </w:t>
      </w:r>
      <w:r w:rsidR="00A54612" w:rsidRPr="00A54612">
        <w:rPr>
          <w:b/>
          <w:sz w:val="28"/>
          <w:szCs w:val="28"/>
          <w:lang w:val="en-US"/>
        </w:rPr>
        <w:t>Limited Frequency Sensitivity Mode - Over-frequency (LFSM-O)</w:t>
      </w:r>
      <w:bookmarkEnd w:id="58"/>
      <w:bookmarkEnd w:id="67"/>
    </w:p>
    <w:p w14:paraId="29B9BEE3"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szCs w:val="20"/>
          <w:lang w:val="en-GB"/>
        </w:rPr>
        <w:t xml:space="preserve">In case of major system over-frequency all ESMs connected to the HETS shall have the capability of operating under Limited Frequency Sensitive Mode (LFSM-O). </w:t>
      </w:r>
      <w:r w:rsidRPr="00A54612">
        <w:rPr>
          <w:rFonts w:eastAsia="Calibri"/>
          <w:lang w:val="en-US"/>
        </w:rPr>
        <w:t>The LFSM-O is a special operating mode under which the ESM (regardless of being in charging or discharging mode) continuously adjusts</w:t>
      </w:r>
      <w:r w:rsidRPr="00A54612">
        <w:rPr>
          <w:rFonts w:eastAsia="Calibri"/>
          <w:vertAlign w:val="superscript"/>
          <w:lang w:val="en-US"/>
        </w:rPr>
        <w:footnoteReference w:id="10"/>
      </w:r>
      <w:r w:rsidRPr="00A54612">
        <w:rPr>
          <w:rFonts w:eastAsia="Calibri"/>
          <w:lang w:val="en-US"/>
        </w:rPr>
        <w:t xml:space="preserve"> active power </w:t>
      </w:r>
      <w:bookmarkStart w:id="68" w:name="_Hlk127529810"/>
      <w:r w:rsidRPr="00A54612">
        <w:rPr>
          <w:rFonts w:eastAsia="Calibri"/>
          <w:lang w:val="en-US"/>
        </w:rPr>
        <w:t xml:space="preserve">generation </w:t>
      </w:r>
      <w:bookmarkStart w:id="69" w:name="_Hlk124345181"/>
      <w:r w:rsidRPr="00A54612">
        <w:rPr>
          <w:rFonts w:eastAsia="Calibri"/>
          <w:lang w:val="en-US"/>
        </w:rPr>
        <w:t xml:space="preserve">or consumption </w:t>
      </w:r>
      <w:bookmarkEnd w:id="68"/>
      <w:r w:rsidRPr="00A54612">
        <w:rPr>
          <w:rFonts w:eastAsia="Calibri"/>
          <w:lang w:val="en-US"/>
        </w:rPr>
        <w:t xml:space="preserve">under a steady </w:t>
      </w:r>
      <w:bookmarkEnd w:id="69"/>
      <w:r w:rsidRPr="00A54612">
        <w:rPr>
          <w:rFonts w:eastAsia="Calibri"/>
          <w:lang w:val="en-US"/>
        </w:rPr>
        <w:t>active power – frequency droop (s</w:t>
      </w:r>
      <w:r w:rsidRPr="00A54612">
        <w:rPr>
          <w:rFonts w:eastAsia="Calibri"/>
          <w:vertAlign w:val="subscript"/>
          <w:lang w:val="en-US"/>
        </w:rPr>
        <w:t>2</w:t>
      </w:r>
      <w:r w:rsidRPr="00A54612">
        <w:rPr>
          <w:rFonts w:eastAsia="Calibri"/>
          <w:lang w:val="en-US"/>
        </w:rPr>
        <w:t>) while system frequency remains above a predefined over-frequency threshold f</w:t>
      </w:r>
      <w:r w:rsidRPr="00A54612">
        <w:rPr>
          <w:rFonts w:eastAsia="Calibri"/>
          <w:vertAlign w:val="subscript"/>
          <w:lang w:val="en-US"/>
        </w:rPr>
        <w:t>1</w:t>
      </w:r>
      <w:r w:rsidRPr="00A54612">
        <w:rPr>
          <w:rFonts w:eastAsia="Calibri"/>
          <w:lang w:val="en-US"/>
        </w:rPr>
        <w:t xml:space="preserve">. </w:t>
      </w:r>
    </w:p>
    <w:p w14:paraId="55DCDD09"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The LFSM-O applies at system emergencies where the downwards FCR is fully deployed but system frequency increases further. </w:t>
      </w:r>
    </w:p>
    <w:p w14:paraId="1518828E" w14:textId="77777777" w:rsidR="00A54612" w:rsidRPr="00A54612" w:rsidRDefault="00A54612" w:rsidP="00A54612">
      <w:pPr>
        <w:widowControl/>
        <w:tabs>
          <w:tab w:val="clear" w:pos="1189"/>
        </w:tabs>
        <w:autoSpaceDE/>
        <w:autoSpaceDN/>
        <w:spacing w:after="120" w:line="240" w:lineRule="auto"/>
        <w:ind w:right="0"/>
        <w:rPr>
          <w:rFonts w:eastAsia="Calibri"/>
          <w:szCs w:val="20"/>
          <w:lang w:val="en-US"/>
        </w:rPr>
      </w:pPr>
      <w:bookmarkStart w:id="70" w:name="_Hlk127203434"/>
      <w:r w:rsidRPr="00A54612">
        <w:rPr>
          <w:rFonts w:eastAsia="Calibri"/>
          <w:szCs w:val="20"/>
          <w:lang w:val="en-GB"/>
        </w:rPr>
        <w:t>In case that system frequency exceeds the threshold value f</w:t>
      </w:r>
      <w:r w:rsidRPr="00A54612">
        <w:rPr>
          <w:rFonts w:eastAsia="Calibri"/>
          <w:szCs w:val="20"/>
          <w:vertAlign w:val="subscript"/>
          <w:lang w:val="en-GB"/>
        </w:rPr>
        <w:t>1</w:t>
      </w:r>
      <w:r w:rsidRPr="00A54612">
        <w:rPr>
          <w:rFonts w:eastAsia="Calibri"/>
          <w:szCs w:val="20"/>
          <w:lang w:val="en-GB"/>
        </w:rPr>
        <w:t xml:space="preserve"> while the ESM generates active power (operates at discharging mode) the ESM shall reduce the generated active power (and, if necessary, shall switch to charging mode within the shortest technically feasible time) until either </w:t>
      </w:r>
      <w:r w:rsidRPr="00A54612">
        <w:rPr>
          <w:rFonts w:eastAsia="Calibri"/>
          <w:lang w:val="en-US"/>
        </w:rPr>
        <w:t>system frequency reduces at a value lower than the over-frequency threshold f</w:t>
      </w:r>
      <w:r w:rsidRPr="00A54612">
        <w:rPr>
          <w:rFonts w:eastAsia="Calibri"/>
          <w:vertAlign w:val="subscript"/>
          <w:lang w:val="en-US"/>
        </w:rPr>
        <w:t xml:space="preserve">1 </w:t>
      </w:r>
      <w:r w:rsidRPr="00A54612">
        <w:rPr>
          <w:rFonts w:eastAsia="Calibri"/>
          <w:lang w:val="en-US"/>
        </w:rPr>
        <w:t>or</w:t>
      </w:r>
      <w:r w:rsidRPr="00A54612">
        <w:rPr>
          <w:rFonts w:eastAsia="Calibri"/>
          <w:szCs w:val="20"/>
          <w:lang w:val="en-GB"/>
        </w:rPr>
        <w:t xml:space="preserve"> the ESM </w:t>
      </w:r>
      <w:bookmarkStart w:id="71" w:name="_Hlk127529626"/>
      <w:r w:rsidRPr="00A54612">
        <w:rPr>
          <w:rFonts w:eastAsia="Calibri"/>
          <w:szCs w:val="20"/>
          <w:lang w:val="en-GB"/>
        </w:rPr>
        <w:t xml:space="preserve">fills the maximum </w:t>
      </w:r>
      <w:bookmarkStart w:id="72" w:name="_Hlk127529232"/>
      <w:r w:rsidRPr="00A54612">
        <w:rPr>
          <w:rFonts w:eastAsia="Calibri"/>
          <w:szCs w:val="20"/>
          <w:lang w:val="en-GB"/>
        </w:rPr>
        <w:t xml:space="preserve">energy </w:t>
      </w:r>
      <w:bookmarkEnd w:id="72"/>
      <w:r w:rsidRPr="00A54612">
        <w:rPr>
          <w:rFonts w:eastAsia="Calibri"/>
          <w:szCs w:val="20"/>
          <w:lang w:val="en-GB"/>
        </w:rPr>
        <w:t xml:space="preserve">content </w:t>
      </w:r>
      <w:r w:rsidRPr="00A54612">
        <w:rPr>
          <w:rFonts w:eastAsia="Calibri"/>
          <w:szCs w:val="20"/>
          <w:lang w:val="en-US"/>
        </w:rPr>
        <w:t>that is able to store</w:t>
      </w:r>
      <w:bookmarkEnd w:id="71"/>
      <w:r w:rsidRPr="00A54612">
        <w:rPr>
          <w:rFonts w:eastAsia="Calibri"/>
          <w:szCs w:val="20"/>
          <w:lang w:val="en-US"/>
        </w:rPr>
        <w:t xml:space="preserve"> </w:t>
      </w:r>
      <w:r w:rsidRPr="00A54612">
        <w:rPr>
          <w:rFonts w:eastAsia="Calibri"/>
          <w:szCs w:val="20"/>
          <w:lang w:val="en-GB"/>
        </w:rPr>
        <w:t xml:space="preserve">or as agreed between the ESM owner and IPTO. </w:t>
      </w:r>
      <w:r w:rsidRPr="00A54612">
        <w:rPr>
          <w:rFonts w:eastAsia="Calibri"/>
          <w:lang w:val="en-US"/>
        </w:rPr>
        <w:t xml:space="preserve">Upon reaching the </w:t>
      </w:r>
      <w:bookmarkStart w:id="73" w:name="_Hlk127529612"/>
      <w:r w:rsidRPr="00A54612">
        <w:rPr>
          <w:rFonts w:eastAsia="Calibri"/>
          <w:szCs w:val="20"/>
          <w:lang w:val="en-GB"/>
        </w:rPr>
        <w:t xml:space="preserve">maximum energy </w:t>
      </w:r>
      <w:r w:rsidRPr="00A54612">
        <w:rPr>
          <w:rFonts w:eastAsia="Calibri"/>
          <w:szCs w:val="20"/>
          <w:lang w:val="en-US"/>
        </w:rPr>
        <w:t xml:space="preserve">that </w:t>
      </w:r>
      <w:proofErr w:type="gramStart"/>
      <w:r w:rsidRPr="00A54612">
        <w:rPr>
          <w:rFonts w:eastAsia="Calibri"/>
          <w:szCs w:val="20"/>
          <w:lang w:val="en-US"/>
        </w:rPr>
        <w:t>is able to</w:t>
      </w:r>
      <w:proofErr w:type="gramEnd"/>
      <w:r w:rsidRPr="00A54612">
        <w:rPr>
          <w:rFonts w:eastAsia="Calibri"/>
          <w:szCs w:val="20"/>
          <w:lang w:val="en-US"/>
        </w:rPr>
        <w:t xml:space="preserve"> store</w:t>
      </w:r>
      <w:r w:rsidRPr="00A54612">
        <w:rPr>
          <w:rFonts w:eastAsia="Calibri"/>
          <w:lang w:val="en-US"/>
        </w:rPr>
        <w:t xml:space="preserve"> </w:t>
      </w:r>
      <w:bookmarkEnd w:id="73"/>
      <w:r w:rsidRPr="00A54612">
        <w:rPr>
          <w:rFonts w:eastAsia="Calibri"/>
          <w:lang w:val="en-US"/>
        </w:rPr>
        <w:t>the ESM shall cease consumption and shall operate under neutral mode.</w:t>
      </w:r>
    </w:p>
    <w:p w14:paraId="685544B8"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szCs w:val="20"/>
          <w:lang w:val="en-GB"/>
        </w:rPr>
        <w:t>In case that system frequency exceeds the threshold value f</w:t>
      </w:r>
      <w:r w:rsidRPr="00A54612">
        <w:rPr>
          <w:rFonts w:eastAsia="Calibri"/>
          <w:szCs w:val="20"/>
          <w:vertAlign w:val="subscript"/>
          <w:lang w:val="en-GB"/>
        </w:rPr>
        <w:t>1</w:t>
      </w:r>
      <w:r w:rsidRPr="00A54612">
        <w:rPr>
          <w:rFonts w:eastAsia="Calibri"/>
          <w:szCs w:val="20"/>
          <w:lang w:val="en-GB"/>
        </w:rPr>
        <w:t xml:space="preserve"> while the ESM consumes active power (operates at charging mode) the ESM shall increase the </w:t>
      </w:r>
      <w:r w:rsidRPr="00A54612">
        <w:rPr>
          <w:rFonts w:eastAsia="Calibri"/>
          <w:szCs w:val="20"/>
          <w:lang w:val="en-US"/>
        </w:rPr>
        <w:t xml:space="preserve">consumed </w:t>
      </w:r>
      <w:r w:rsidRPr="00A54612">
        <w:rPr>
          <w:rFonts w:eastAsia="Calibri"/>
          <w:szCs w:val="20"/>
          <w:lang w:val="en-GB"/>
        </w:rPr>
        <w:t xml:space="preserve">active power until either </w:t>
      </w:r>
      <w:r w:rsidRPr="00A54612">
        <w:rPr>
          <w:rFonts w:eastAsia="Calibri"/>
          <w:lang w:val="en-US"/>
        </w:rPr>
        <w:t xml:space="preserve">system frequency reduces </w:t>
      </w:r>
      <w:r w:rsidRPr="00A54612">
        <w:rPr>
          <w:rFonts w:eastAsia="Calibri"/>
          <w:lang w:val="en-US"/>
        </w:rPr>
        <w:lastRenderedPageBreak/>
        <w:t>at a value lower than the over-frequency threshold f</w:t>
      </w:r>
      <w:r w:rsidRPr="00A54612">
        <w:rPr>
          <w:rFonts w:eastAsia="Calibri"/>
          <w:vertAlign w:val="subscript"/>
          <w:lang w:val="en-US"/>
        </w:rPr>
        <w:t xml:space="preserve">1 </w:t>
      </w:r>
      <w:r w:rsidRPr="00A54612">
        <w:rPr>
          <w:rFonts w:eastAsia="Calibri"/>
          <w:lang w:val="en-US"/>
        </w:rPr>
        <w:t>or</w:t>
      </w:r>
      <w:r w:rsidRPr="00A54612">
        <w:rPr>
          <w:rFonts w:eastAsia="Calibri"/>
          <w:szCs w:val="20"/>
          <w:lang w:val="en-GB"/>
        </w:rPr>
        <w:t xml:space="preserve"> the ESM fills the maximum energy content that is able to store or as agreed between the ESM owner and IPTO. </w:t>
      </w:r>
      <w:r w:rsidRPr="00A54612">
        <w:rPr>
          <w:rFonts w:eastAsia="Calibri"/>
          <w:lang w:val="en-US"/>
        </w:rPr>
        <w:t xml:space="preserve">Upon reaching the </w:t>
      </w:r>
      <w:r w:rsidRPr="00A54612">
        <w:rPr>
          <w:rFonts w:eastAsia="Calibri"/>
          <w:szCs w:val="20"/>
          <w:lang w:val="en-GB"/>
        </w:rPr>
        <w:t xml:space="preserve">maximum energy </w:t>
      </w:r>
      <w:r w:rsidRPr="00A54612">
        <w:rPr>
          <w:rFonts w:eastAsia="Calibri"/>
          <w:szCs w:val="20"/>
          <w:lang w:val="en-US"/>
        </w:rPr>
        <w:t xml:space="preserve">that </w:t>
      </w:r>
      <w:proofErr w:type="gramStart"/>
      <w:r w:rsidRPr="00A54612">
        <w:rPr>
          <w:rFonts w:eastAsia="Calibri"/>
          <w:szCs w:val="20"/>
          <w:lang w:val="en-US"/>
        </w:rPr>
        <w:t>is able to</w:t>
      </w:r>
      <w:proofErr w:type="gramEnd"/>
      <w:r w:rsidRPr="00A54612">
        <w:rPr>
          <w:rFonts w:eastAsia="Calibri"/>
          <w:szCs w:val="20"/>
          <w:lang w:val="en-US"/>
        </w:rPr>
        <w:t xml:space="preserve"> store</w:t>
      </w:r>
      <w:r w:rsidRPr="00A54612">
        <w:rPr>
          <w:rFonts w:eastAsia="Calibri"/>
          <w:lang w:val="en-US"/>
        </w:rPr>
        <w:t xml:space="preserve"> the ESM shall cease consumption and shall operate under neutral mode. </w:t>
      </w:r>
    </w:p>
    <w:p w14:paraId="2A3A3D75"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szCs w:val="20"/>
          <w:lang w:val="en-GB"/>
        </w:rPr>
        <w:t>Switching from consumption (charging) to generation (discharging) and vice versa should be as fast as technically feasible. IPTO has the right to request the demonstration of technical evidence of the required switching time.</w:t>
      </w:r>
    </w:p>
    <w:bookmarkEnd w:id="70"/>
    <w:p w14:paraId="17547996"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GB"/>
        </w:rPr>
        <w:t xml:space="preserve">The ESM control system should allow for the implementation of different droop values (adjustable droop between 2-12%, default value </w:t>
      </w:r>
      <w:r w:rsidRPr="00A54612">
        <w:rPr>
          <w:rFonts w:eastAsia="Calibri"/>
          <w:lang w:val="en-US"/>
        </w:rPr>
        <w:t>s</w:t>
      </w:r>
      <w:r w:rsidRPr="00A54612">
        <w:rPr>
          <w:rFonts w:eastAsia="Calibri"/>
          <w:vertAlign w:val="subscript"/>
          <w:lang w:val="en-US"/>
        </w:rPr>
        <w:t>2</w:t>
      </w:r>
      <w:r w:rsidRPr="00A54612">
        <w:rPr>
          <w:rFonts w:eastAsia="Calibri"/>
          <w:lang w:val="en-US"/>
        </w:rPr>
        <w:t xml:space="preserve"> = 5%</w:t>
      </w:r>
      <w:r w:rsidRPr="00A54612">
        <w:rPr>
          <w:rFonts w:eastAsia="Calibri"/>
          <w:szCs w:val="20"/>
          <w:lang w:val="en-GB"/>
        </w:rPr>
        <w:t xml:space="preserve">) while should allow for the implementation of any over-frequency threshold between 50,2 Hz and 50,5 Hz inclusive, with a default </w:t>
      </w:r>
      <w:r w:rsidRPr="00A54612">
        <w:rPr>
          <w:rFonts w:eastAsia="Calibri"/>
          <w:lang w:val="en-US"/>
        </w:rPr>
        <w:t>over-frequency threshold f</w:t>
      </w:r>
      <w:r w:rsidRPr="00A54612">
        <w:rPr>
          <w:rFonts w:eastAsia="Calibri"/>
          <w:vertAlign w:val="subscript"/>
          <w:lang w:val="en-US"/>
        </w:rPr>
        <w:t>1</w:t>
      </w:r>
      <w:r w:rsidRPr="00A54612">
        <w:rPr>
          <w:rFonts w:eastAsia="Calibri"/>
          <w:lang w:val="en-US"/>
        </w:rPr>
        <w:t xml:space="preserve"> = 50,2 Hz</w:t>
      </w:r>
      <w:r w:rsidRPr="00A54612">
        <w:rPr>
          <w:rFonts w:eastAsia="Calibri"/>
          <w:szCs w:val="20"/>
          <w:lang w:val="en-GB"/>
        </w:rPr>
        <w:t>,</w:t>
      </w:r>
      <w:r w:rsidRPr="00A54612">
        <w:rPr>
          <w:rFonts w:eastAsia="Calibri"/>
          <w:lang w:val="en-US"/>
        </w:rPr>
        <w:t xml:space="preserve"> see indicative Figure</w:t>
      </w:r>
      <w:r w:rsidRPr="00A54612">
        <w:rPr>
          <w:rFonts w:eastAsia="Calibri"/>
          <w:szCs w:val="20"/>
          <w:lang w:val="en-GB"/>
        </w:rPr>
        <w:t xml:space="preserve"> 9. </w:t>
      </w:r>
    </w:p>
    <w:p w14:paraId="1EC93F4B"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bookmarkStart w:id="74" w:name="_Hlk127275397"/>
      <w:r w:rsidRPr="00A54612">
        <w:rPr>
          <w:rFonts w:eastAsia="Calibri"/>
          <w:lang w:val="en-US"/>
        </w:rPr>
        <w:t>The tolerance range of operating under maximum charging level is ±5% of the Pmax or ±5MW (whichever value is smaller).</w:t>
      </w:r>
    </w:p>
    <w:bookmarkEnd w:id="74"/>
    <w:p w14:paraId="298DE4E2"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p>
    <w:p w14:paraId="43927443" w14:textId="77777777" w:rsidR="00A54612" w:rsidRPr="00A54612" w:rsidRDefault="00A54612" w:rsidP="00A54612">
      <w:pPr>
        <w:widowControl/>
        <w:tabs>
          <w:tab w:val="clear" w:pos="1189"/>
        </w:tabs>
        <w:autoSpaceDE/>
        <w:autoSpaceDN/>
        <w:spacing w:after="120" w:line="240" w:lineRule="auto"/>
        <w:ind w:right="0"/>
        <w:jc w:val="center"/>
        <w:rPr>
          <w:rFonts w:eastAsia="Calibri"/>
          <w:lang w:val="en-US"/>
        </w:rPr>
      </w:pPr>
      <w:r w:rsidRPr="00A54612">
        <w:rPr>
          <w:rFonts w:eastAsia="Calibri"/>
          <w:lang w:val="en-US"/>
        </w:rPr>
        <w:object w:dxaOrig="9300" w:dyaOrig="6195" w14:anchorId="25953ADB">
          <v:shape id="_x0000_i1030" type="#_x0000_t75" style="width:419.25pt;height:279pt" o:ole="">
            <v:imagedata r:id="rId48" o:title=""/>
          </v:shape>
          <o:OLEObject Type="Embed" ProgID="Visio.Drawing.15" ShapeID="_x0000_i1030" DrawAspect="Content" ObjectID="_1748444578" r:id="rId49"/>
        </w:object>
      </w:r>
    </w:p>
    <w:p w14:paraId="64831716"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75" w:name="_Ref127270285"/>
      <w:r w:rsidRPr="00A54612">
        <w:rPr>
          <w:rFonts w:eastAsia="Calibri"/>
          <w:b/>
          <w:bCs/>
          <w:i/>
          <w:iCs/>
          <w:sz w:val="20"/>
          <w:szCs w:val="20"/>
          <w:lang w:val="en"/>
        </w:rPr>
        <w:t>Figure 9</w:t>
      </w:r>
      <w:bookmarkEnd w:id="75"/>
      <w:r w:rsidRPr="00A54612">
        <w:rPr>
          <w:rFonts w:eastAsia="Calibri"/>
          <w:b/>
          <w:bCs/>
          <w:i/>
          <w:iCs/>
          <w:sz w:val="20"/>
          <w:szCs w:val="20"/>
          <w:lang w:val="en"/>
        </w:rPr>
        <w:t>: Active power frequency response capability of ESMs in LFSM-O</w:t>
      </w:r>
    </w:p>
    <w:p w14:paraId="1419A4A6"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p>
    <w:p w14:paraId="36CE3F3C" w14:textId="77777777" w:rsidR="00A54612" w:rsidRPr="00A54612" w:rsidRDefault="00A54612" w:rsidP="00A54612">
      <w:pPr>
        <w:widowControl/>
        <w:tabs>
          <w:tab w:val="clear" w:pos="1189"/>
        </w:tabs>
        <w:autoSpaceDE/>
        <w:autoSpaceDN/>
        <w:spacing w:after="120" w:line="240" w:lineRule="auto"/>
        <w:ind w:right="0"/>
        <w:jc w:val="left"/>
        <w:rPr>
          <w:rFonts w:eastAsia="Calibri"/>
          <w:lang w:val="en-GB"/>
        </w:rPr>
      </w:pPr>
      <w:r w:rsidRPr="00A54612">
        <w:rPr>
          <w:rFonts w:eastAsia="Calibri"/>
          <w:lang w:val="en-GB"/>
        </w:rPr>
        <w:t>With regard the LFSM-O dynamic response (time frame) the step response and settling times for ESMs are defined in Table 6.</w:t>
      </w:r>
    </w:p>
    <w:p w14:paraId="215CACDA"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7B5FE8AE"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76" w:name="_Ref127203221"/>
      <w:r w:rsidRPr="00A54612">
        <w:rPr>
          <w:rFonts w:eastAsia="Calibri"/>
          <w:b/>
          <w:bCs/>
          <w:i/>
          <w:iCs/>
          <w:sz w:val="20"/>
          <w:szCs w:val="20"/>
          <w:lang w:val="en"/>
        </w:rPr>
        <w:t xml:space="preserve">Table </w:t>
      </w:r>
      <w:bookmarkEnd w:id="76"/>
      <w:r w:rsidRPr="00A54612">
        <w:rPr>
          <w:rFonts w:eastAsia="Calibri"/>
          <w:b/>
          <w:bCs/>
          <w:i/>
          <w:iCs/>
          <w:sz w:val="20"/>
          <w:szCs w:val="20"/>
          <w:lang w:val="en"/>
        </w:rPr>
        <w:t>6: Response times for ESMs under LFSM-O operation</w:t>
      </w:r>
    </w:p>
    <w:tbl>
      <w:tblPr>
        <w:tblStyle w:val="af3"/>
        <w:tblW w:w="0" w:type="auto"/>
        <w:jc w:val="center"/>
        <w:tblLook w:val="04A0" w:firstRow="1" w:lastRow="0" w:firstColumn="1" w:lastColumn="0" w:noHBand="0" w:noVBand="1"/>
      </w:tblPr>
      <w:tblGrid>
        <w:gridCol w:w="1913"/>
        <w:gridCol w:w="5843"/>
      </w:tblGrid>
      <w:tr w:rsidR="00A54612" w:rsidRPr="00C72D5D" w14:paraId="566856BF" w14:textId="77777777" w:rsidTr="00172AED">
        <w:trPr>
          <w:jc w:val="center"/>
        </w:trPr>
        <w:tc>
          <w:tcPr>
            <w:tcW w:w="0" w:type="auto"/>
            <w:shd w:val="clear" w:color="auto" w:fill="auto"/>
            <w:vAlign w:val="center"/>
          </w:tcPr>
          <w:p w14:paraId="296E51F9" w14:textId="77777777" w:rsidR="00A54612" w:rsidRPr="00A54612" w:rsidRDefault="00A54612" w:rsidP="00A54612">
            <w:pPr>
              <w:tabs>
                <w:tab w:val="clear" w:pos="1189"/>
              </w:tabs>
              <w:spacing w:after="0" w:line="240" w:lineRule="auto"/>
              <w:ind w:right="0"/>
              <w:jc w:val="left"/>
              <w:rPr>
                <w:rFonts w:eastAsia="Calibri"/>
                <w:sz w:val="20"/>
                <w:szCs w:val="20"/>
                <w:lang w:val="en"/>
              </w:rPr>
            </w:pPr>
            <w:r w:rsidRPr="00A54612">
              <w:rPr>
                <w:rFonts w:eastAsia="Calibri"/>
                <w:sz w:val="20"/>
                <w:szCs w:val="20"/>
                <w:lang w:val="en"/>
              </w:rPr>
              <w:t>Step response time</w:t>
            </w:r>
          </w:p>
        </w:tc>
        <w:tc>
          <w:tcPr>
            <w:tcW w:w="0" w:type="auto"/>
            <w:vAlign w:val="center"/>
          </w:tcPr>
          <w:p w14:paraId="084B938E" w14:textId="77777777" w:rsidR="00A54612" w:rsidRPr="00A54612" w:rsidRDefault="00A54612" w:rsidP="00A54612">
            <w:pPr>
              <w:tabs>
                <w:tab w:val="clear" w:pos="1189"/>
              </w:tabs>
              <w:spacing w:after="0" w:line="240" w:lineRule="auto"/>
              <w:ind w:right="0"/>
              <w:jc w:val="left"/>
              <w:rPr>
                <w:rFonts w:eastAsia="Calibri"/>
                <w:sz w:val="20"/>
                <w:szCs w:val="20"/>
                <w:lang w:val="en"/>
              </w:rPr>
            </w:pPr>
            <w:r w:rsidRPr="00A54612">
              <w:rPr>
                <w:rFonts w:eastAsia="Calibri"/>
                <w:sz w:val="20"/>
                <w:szCs w:val="20"/>
                <w:lang w:val="en"/>
              </w:rPr>
              <w:t xml:space="preserve">≤ 2 sec for a decrease (*) of active power </w:t>
            </w:r>
            <w:bookmarkStart w:id="77" w:name="_Hlk127270038"/>
            <w:r w:rsidRPr="00A54612">
              <w:rPr>
                <w:rFonts w:eastAsia="Calibri"/>
                <w:sz w:val="20"/>
                <w:szCs w:val="20"/>
                <w:lang w:val="en"/>
              </w:rPr>
              <w:t xml:space="preserve">output </w:t>
            </w:r>
            <w:bookmarkEnd w:id="77"/>
            <w:r w:rsidRPr="00A54612">
              <w:rPr>
                <w:rFonts w:eastAsia="Calibri"/>
                <w:sz w:val="20"/>
                <w:szCs w:val="20"/>
                <w:lang w:val="en"/>
              </w:rPr>
              <w:t>of 50% Pmax</w:t>
            </w:r>
          </w:p>
        </w:tc>
      </w:tr>
      <w:tr w:rsidR="00A54612" w:rsidRPr="00C72D5D" w14:paraId="0C2784C9" w14:textId="77777777" w:rsidTr="00172AED">
        <w:trPr>
          <w:jc w:val="center"/>
        </w:trPr>
        <w:tc>
          <w:tcPr>
            <w:tcW w:w="0" w:type="auto"/>
            <w:shd w:val="clear" w:color="auto" w:fill="auto"/>
            <w:vAlign w:val="center"/>
          </w:tcPr>
          <w:p w14:paraId="7BD4C502" w14:textId="77777777" w:rsidR="00A54612" w:rsidRPr="00A54612" w:rsidRDefault="00A54612" w:rsidP="00A54612">
            <w:pPr>
              <w:tabs>
                <w:tab w:val="clear" w:pos="1189"/>
              </w:tabs>
              <w:spacing w:after="0" w:line="240" w:lineRule="auto"/>
              <w:ind w:right="0"/>
              <w:jc w:val="left"/>
              <w:rPr>
                <w:rFonts w:eastAsia="Calibri"/>
                <w:sz w:val="20"/>
                <w:szCs w:val="20"/>
                <w:lang w:val="en"/>
              </w:rPr>
            </w:pPr>
            <w:r w:rsidRPr="00A54612">
              <w:rPr>
                <w:rFonts w:eastAsia="Calibri"/>
                <w:sz w:val="20"/>
                <w:szCs w:val="20"/>
                <w:lang w:val="en"/>
              </w:rPr>
              <w:t>Settling time</w:t>
            </w:r>
          </w:p>
        </w:tc>
        <w:tc>
          <w:tcPr>
            <w:tcW w:w="0" w:type="auto"/>
            <w:vAlign w:val="center"/>
          </w:tcPr>
          <w:p w14:paraId="2C96E5F3" w14:textId="77777777" w:rsidR="00A54612" w:rsidRPr="00A54612" w:rsidRDefault="00A54612" w:rsidP="00A54612">
            <w:pPr>
              <w:tabs>
                <w:tab w:val="clear" w:pos="1189"/>
              </w:tabs>
              <w:spacing w:after="0" w:line="240" w:lineRule="auto"/>
              <w:ind w:right="0"/>
              <w:jc w:val="left"/>
              <w:rPr>
                <w:rFonts w:eastAsia="Calibri"/>
                <w:sz w:val="20"/>
                <w:szCs w:val="20"/>
                <w:lang w:val="en"/>
              </w:rPr>
            </w:pPr>
            <w:r w:rsidRPr="00A54612">
              <w:rPr>
                <w:rFonts w:eastAsia="Calibri"/>
                <w:sz w:val="20"/>
                <w:szCs w:val="20"/>
                <w:lang w:val="en"/>
              </w:rPr>
              <w:t xml:space="preserve">≤ 20 sec for a decrease (*) of active power </w:t>
            </w:r>
            <w:proofErr w:type="gramStart"/>
            <w:r w:rsidRPr="00A54612">
              <w:rPr>
                <w:rFonts w:eastAsia="Calibri"/>
                <w:sz w:val="20"/>
                <w:szCs w:val="20"/>
                <w:lang w:val="en"/>
              </w:rPr>
              <w:t>output;</w:t>
            </w:r>
            <w:proofErr w:type="gramEnd"/>
          </w:p>
          <w:p w14:paraId="34005772" w14:textId="77777777" w:rsidR="00A54612" w:rsidRPr="00A54612" w:rsidRDefault="00A54612" w:rsidP="00A54612">
            <w:pPr>
              <w:tabs>
                <w:tab w:val="clear" w:pos="1189"/>
              </w:tabs>
              <w:spacing w:after="0" w:line="240" w:lineRule="auto"/>
              <w:ind w:right="0"/>
              <w:jc w:val="left"/>
              <w:rPr>
                <w:rFonts w:eastAsia="Calibri"/>
                <w:sz w:val="20"/>
                <w:szCs w:val="20"/>
                <w:lang w:val="en"/>
              </w:rPr>
            </w:pPr>
            <w:r w:rsidRPr="00A54612">
              <w:rPr>
                <w:rFonts w:eastAsia="Calibri"/>
                <w:sz w:val="20"/>
                <w:szCs w:val="20"/>
                <w:lang w:val="en"/>
              </w:rPr>
              <w:t>≤ 30 sec for an increase (**) of active power output;</w:t>
            </w:r>
          </w:p>
        </w:tc>
      </w:tr>
    </w:tbl>
    <w:p w14:paraId="631DDAB9" w14:textId="77777777" w:rsidR="00A54612" w:rsidRPr="00A54612" w:rsidRDefault="00A54612" w:rsidP="00A54612">
      <w:pPr>
        <w:widowControl/>
        <w:tabs>
          <w:tab w:val="clear" w:pos="1189"/>
        </w:tabs>
        <w:autoSpaceDE/>
        <w:autoSpaceDN/>
        <w:spacing w:before="120" w:after="0" w:line="240" w:lineRule="auto"/>
        <w:ind w:right="0"/>
        <w:rPr>
          <w:rFonts w:eastAsia="Calibri"/>
          <w:sz w:val="18"/>
          <w:szCs w:val="18"/>
          <w:lang w:val="en-US"/>
        </w:rPr>
      </w:pPr>
      <w:r w:rsidRPr="00A54612">
        <w:rPr>
          <w:rFonts w:eastAsia="Calibri"/>
          <w:sz w:val="18"/>
          <w:szCs w:val="18"/>
          <w:lang w:val="en-US"/>
        </w:rPr>
        <w:t>(*): decrease of active power</w:t>
      </w:r>
      <w:r w:rsidRPr="00A54612">
        <w:rPr>
          <w:rFonts w:eastAsia="Calibri"/>
          <w:lang w:val="en-US"/>
        </w:rPr>
        <w:t xml:space="preserve"> </w:t>
      </w:r>
      <w:r w:rsidRPr="00A54612">
        <w:rPr>
          <w:rFonts w:eastAsia="Calibri"/>
          <w:sz w:val="18"/>
          <w:szCs w:val="18"/>
          <w:lang w:val="en-US"/>
        </w:rPr>
        <w:t xml:space="preserve">output in case of increasing frequency while operating under LFSM-O </w:t>
      </w:r>
    </w:p>
    <w:p w14:paraId="0B5CE4E5"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r w:rsidRPr="00A54612">
        <w:rPr>
          <w:rFonts w:eastAsia="Calibri"/>
          <w:sz w:val="18"/>
          <w:szCs w:val="18"/>
          <w:lang w:val="en-US"/>
        </w:rPr>
        <w:t>(**): increase of active power output in case of decreasing frequency while operating under LFSM-O</w:t>
      </w:r>
    </w:p>
    <w:p w14:paraId="05C5D812" w14:textId="77777777" w:rsidR="00A54612" w:rsidRPr="00A54612" w:rsidRDefault="00A54612" w:rsidP="00A54612">
      <w:pPr>
        <w:widowControl/>
        <w:tabs>
          <w:tab w:val="clear" w:pos="1189"/>
        </w:tabs>
        <w:autoSpaceDE/>
        <w:autoSpaceDN/>
        <w:spacing w:after="120" w:line="240" w:lineRule="auto"/>
        <w:ind w:right="0"/>
        <w:rPr>
          <w:rFonts w:eastAsia="Calibri"/>
          <w:lang w:val="en-GB"/>
        </w:rPr>
      </w:pPr>
    </w:p>
    <w:p w14:paraId="11FEEAD5" w14:textId="77777777" w:rsidR="00A54612" w:rsidRPr="00A54612" w:rsidRDefault="00A54612" w:rsidP="00A54612">
      <w:pPr>
        <w:widowControl/>
        <w:tabs>
          <w:tab w:val="clear" w:pos="1189"/>
        </w:tabs>
        <w:autoSpaceDE/>
        <w:autoSpaceDN/>
        <w:spacing w:after="120" w:line="240" w:lineRule="auto"/>
        <w:ind w:right="0"/>
        <w:rPr>
          <w:rFonts w:eastAsia="Calibri"/>
          <w:lang w:val="en-GB"/>
        </w:rPr>
      </w:pPr>
      <w:r w:rsidRPr="00A54612">
        <w:rPr>
          <w:rFonts w:eastAsia="Calibri"/>
          <w:lang w:val="en-GB"/>
        </w:rPr>
        <w:t xml:space="preserve">The ESM shall be capable of operating stably during LFSM-O operation. </w:t>
      </w:r>
    </w:p>
    <w:p w14:paraId="7B839B02" w14:textId="77777777" w:rsidR="00A54612" w:rsidRPr="00A54612" w:rsidRDefault="00A54612" w:rsidP="00A54612">
      <w:pPr>
        <w:widowControl/>
        <w:tabs>
          <w:tab w:val="clear" w:pos="1189"/>
        </w:tabs>
        <w:autoSpaceDE/>
        <w:autoSpaceDN/>
        <w:spacing w:after="120" w:line="240" w:lineRule="auto"/>
        <w:ind w:right="0"/>
        <w:rPr>
          <w:rFonts w:eastAsia="Calibri"/>
          <w:lang w:val="en-GB"/>
        </w:rPr>
      </w:pPr>
      <w:r w:rsidRPr="00A54612">
        <w:rPr>
          <w:rFonts w:eastAsia="Calibri"/>
          <w:lang w:val="en-GB"/>
        </w:rPr>
        <w:t xml:space="preserve">When LFSM-O is active, the LFSM-O setpoint will prevail over any other active power setpoints which would result in an increase of active power output. </w:t>
      </w:r>
    </w:p>
    <w:p w14:paraId="02DE8D52" w14:textId="77777777" w:rsidR="00A54612" w:rsidRPr="00A54612" w:rsidRDefault="00A54612" w:rsidP="00A54612">
      <w:pPr>
        <w:widowControl/>
        <w:tabs>
          <w:tab w:val="clear" w:pos="1189"/>
        </w:tabs>
        <w:autoSpaceDE/>
        <w:autoSpaceDN/>
        <w:spacing w:after="120" w:line="240" w:lineRule="auto"/>
        <w:ind w:right="0"/>
        <w:rPr>
          <w:rFonts w:eastAsia="Calibri"/>
          <w:lang w:val="en-GB"/>
        </w:rPr>
      </w:pPr>
      <w:r w:rsidRPr="00A54612">
        <w:rPr>
          <w:rFonts w:eastAsia="Calibri"/>
          <w:lang w:val="en-US"/>
        </w:rPr>
        <w:lastRenderedPageBreak/>
        <w:t xml:space="preserve">The actual delivery of active power frequency response in LFSM-O mode shall </w:t>
      </w:r>
      <w:proofErr w:type="gramStart"/>
      <w:r w:rsidRPr="00A54612">
        <w:rPr>
          <w:rFonts w:eastAsia="Calibri"/>
          <w:lang w:val="en-US"/>
        </w:rPr>
        <w:t>take into account</w:t>
      </w:r>
      <w:proofErr w:type="gramEnd"/>
      <w:r w:rsidRPr="00A54612">
        <w:rPr>
          <w:rFonts w:eastAsia="Calibri"/>
          <w:lang w:val="en-US"/>
        </w:rPr>
        <w:t xml:space="preserve"> the ambient conditions when the response is to be triggered, the operating conditions of the ESM, and the available energy content of the ESM.</w:t>
      </w:r>
    </w:p>
    <w:p w14:paraId="2EE0445A" w14:textId="77777777" w:rsidR="00A54612" w:rsidRPr="00A54612" w:rsidRDefault="00A54612" w:rsidP="00A54612">
      <w:pPr>
        <w:widowControl/>
        <w:tabs>
          <w:tab w:val="clear" w:pos="1189"/>
        </w:tabs>
        <w:autoSpaceDE/>
        <w:autoSpaceDN/>
        <w:spacing w:after="120" w:line="240" w:lineRule="auto"/>
        <w:ind w:right="0"/>
        <w:rPr>
          <w:rFonts w:eastAsia="Calibri"/>
          <w:lang w:val="en-GB"/>
        </w:rPr>
      </w:pPr>
      <w:r w:rsidRPr="00A54612">
        <w:rPr>
          <w:rFonts w:eastAsia="Calibri"/>
          <w:lang w:val="en-GB"/>
        </w:rPr>
        <w:t xml:space="preserve">The </w:t>
      </w:r>
      <w:r w:rsidRPr="00A54612">
        <w:rPr>
          <w:rFonts w:eastAsia="Calibri"/>
          <w:lang w:val="en-US"/>
        </w:rPr>
        <w:t>ESM</w:t>
      </w:r>
      <w:r w:rsidRPr="00A54612">
        <w:rPr>
          <w:rFonts w:eastAsia="Calibri"/>
          <w:lang w:val="en-GB"/>
        </w:rPr>
        <w:t xml:space="preserve"> shall be able to receive and react on an external signal issued by IPTO allowing blocking active power LFSM-O setpoint in real-time. </w:t>
      </w:r>
    </w:p>
    <w:p w14:paraId="6CAB0810" w14:textId="77777777" w:rsidR="00A54612" w:rsidRPr="00A54612" w:rsidRDefault="00A54612" w:rsidP="00A54612">
      <w:pPr>
        <w:widowControl/>
        <w:tabs>
          <w:tab w:val="clear" w:pos="1189"/>
        </w:tabs>
        <w:autoSpaceDE/>
        <w:autoSpaceDN/>
        <w:spacing w:after="120" w:line="240" w:lineRule="auto"/>
        <w:ind w:right="0"/>
        <w:rPr>
          <w:rFonts w:eastAsia="Calibri"/>
          <w:lang w:val="en-GB"/>
        </w:rPr>
      </w:pPr>
      <w:r w:rsidRPr="00A54612">
        <w:rPr>
          <w:rFonts w:eastAsia="Calibri"/>
          <w:lang w:val="en-GB"/>
        </w:rPr>
        <w:t xml:space="preserve">The LFSM-O shall be activated with a time delay of less than 2sec. The ESM owner should justify any time delay greater than 2 sec by providing technical evidence to IPTO. </w:t>
      </w:r>
    </w:p>
    <w:p w14:paraId="786136B6" w14:textId="77777777" w:rsidR="00A54612" w:rsidRPr="00A54612" w:rsidRDefault="00A54612" w:rsidP="00A54612">
      <w:pPr>
        <w:widowControl/>
        <w:tabs>
          <w:tab w:val="clear" w:pos="1189"/>
        </w:tabs>
        <w:autoSpaceDE/>
        <w:autoSpaceDN/>
        <w:spacing w:after="120" w:line="240" w:lineRule="auto"/>
        <w:ind w:right="0"/>
        <w:jc w:val="left"/>
        <w:rPr>
          <w:rFonts w:eastAsia="Calibri"/>
          <w:lang w:val="en-GB"/>
        </w:rPr>
      </w:pPr>
    </w:p>
    <w:p w14:paraId="447CC958" w14:textId="2EE33724" w:rsidR="00A54612" w:rsidRPr="00A54612" w:rsidRDefault="007A3E7A" w:rsidP="00A54612">
      <w:pPr>
        <w:keepNext/>
        <w:keepLines/>
        <w:widowControl/>
        <w:numPr>
          <w:ilvl w:val="1"/>
          <w:numId w:val="0"/>
        </w:numPr>
        <w:tabs>
          <w:tab w:val="clear" w:pos="1189"/>
        </w:tabs>
        <w:autoSpaceDE/>
        <w:autoSpaceDN/>
        <w:spacing w:before="360" w:after="360" w:line="240" w:lineRule="auto"/>
        <w:ind w:left="578" w:right="0" w:hanging="578"/>
        <w:jc w:val="left"/>
        <w:outlineLvl w:val="1"/>
        <w:rPr>
          <w:b/>
          <w:sz w:val="28"/>
          <w:szCs w:val="28"/>
          <w:lang w:val="en-US"/>
        </w:rPr>
      </w:pPr>
      <w:bookmarkStart w:id="78" w:name="_Ref127177795"/>
      <w:bookmarkStart w:id="79" w:name="_Toc137323493"/>
      <w:r w:rsidRPr="007A3E7A">
        <w:rPr>
          <w:b/>
          <w:sz w:val="28"/>
          <w:szCs w:val="28"/>
          <w:lang w:val="en-US"/>
        </w:rPr>
        <w:t xml:space="preserve">4.4 </w:t>
      </w:r>
      <w:r w:rsidR="00A54612" w:rsidRPr="00A54612">
        <w:rPr>
          <w:b/>
          <w:sz w:val="28"/>
          <w:szCs w:val="28"/>
          <w:lang w:val="en-US"/>
        </w:rPr>
        <w:t>Limited Frequency Sensitivity Mode – Underfrequency (LFSM-U)</w:t>
      </w:r>
      <w:bookmarkEnd w:id="78"/>
      <w:bookmarkEnd w:id="79"/>
    </w:p>
    <w:p w14:paraId="02451E19"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In the case of major system under-frequency,</w:t>
      </w:r>
      <w:r w:rsidRPr="00A54612" w:rsidDel="00255B60">
        <w:rPr>
          <w:rFonts w:eastAsia="Calibri"/>
          <w:lang w:val="en-US"/>
        </w:rPr>
        <w:t xml:space="preserve"> </w:t>
      </w:r>
      <w:r w:rsidRPr="00A54612">
        <w:rPr>
          <w:rFonts w:eastAsia="Calibri"/>
          <w:lang w:val="en-US"/>
        </w:rPr>
        <w:t>all ESMs connected to the HETS shall have the capability of operating under Limited Frequency Sensitive Mode (LFSM-U). The LFSM-U is a special operating mode under which the ESM (regardless of being in charging or discharging phase) continuously adjusts its active power generation or consumption under a steady active power – frequency droop (s) while system frequency remains below a predefined under-frequency threshold f</w:t>
      </w:r>
      <w:r w:rsidRPr="00A54612">
        <w:rPr>
          <w:rFonts w:eastAsia="Calibri"/>
          <w:vertAlign w:val="subscript"/>
          <w:lang w:val="en-US"/>
        </w:rPr>
        <w:t>1</w:t>
      </w:r>
      <w:r w:rsidRPr="00A54612">
        <w:rPr>
          <w:rFonts w:eastAsia="Calibri"/>
          <w:lang w:val="en-US"/>
        </w:rPr>
        <w:t xml:space="preserve">. </w:t>
      </w:r>
    </w:p>
    <w:p w14:paraId="30A0527D"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The LFSM-U applies at system emergencies where the upwards FCR is fully deployed, but system frequency decreases further. </w:t>
      </w:r>
    </w:p>
    <w:p w14:paraId="1189621A"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GB"/>
        </w:rPr>
        <w:t>In case that system frequency decreases below the threshold value f</w:t>
      </w:r>
      <w:r w:rsidRPr="00A54612">
        <w:rPr>
          <w:rFonts w:eastAsia="Calibri"/>
          <w:szCs w:val="20"/>
          <w:vertAlign w:val="subscript"/>
          <w:lang w:val="en-GB"/>
        </w:rPr>
        <w:t>1</w:t>
      </w:r>
      <w:r w:rsidRPr="00A54612">
        <w:rPr>
          <w:rFonts w:eastAsia="Calibri"/>
          <w:szCs w:val="20"/>
          <w:lang w:val="en-GB"/>
        </w:rPr>
        <w:t xml:space="preserve"> while the ESM generates active power (operates at discharging mode) the ESM shall increase the generated active power until either </w:t>
      </w:r>
      <w:r w:rsidRPr="00A54612">
        <w:rPr>
          <w:rFonts w:eastAsia="Calibri"/>
          <w:lang w:val="en-US"/>
        </w:rPr>
        <w:t>system frequency restores at a value higher than the under-frequency threshold f</w:t>
      </w:r>
      <w:r w:rsidRPr="00A54612">
        <w:rPr>
          <w:rFonts w:eastAsia="Calibri"/>
          <w:vertAlign w:val="subscript"/>
          <w:lang w:val="en-US"/>
        </w:rPr>
        <w:t xml:space="preserve">1 </w:t>
      </w:r>
      <w:r w:rsidRPr="00A54612">
        <w:rPr>
          <w:rFonts w:eastAsia="Calibri"/>
          <w:lang w:val="en-US"/>
        </w:rPr>
        <w:t>or</w:t>
      </w:r>
      <w:r w:rsidRPr="00A54612">
        <w:rPr>
          <w:rFonts w:eastAsia="Calibri"/>
          <w:szCs w:val="20"/>
          <w:lang w:val="en-GB"/>
        </w:rPr>
        <w:t xml:space="preserve"> the ESM minimize its energy content or as agreed between the ESM owner and IPTO. </w:t>
      </w:r>
      <w:r w:rsidRPr="00A54612">
        <w:rPr>
          <w:rFonts w:eastAsia="Calibri"/>
          <w:lang w:val="en-US"/>
        </w:rPr>
        <w:t xml:space="preserve">Upon reaching minimum energy content the </w:t>
      </w:r>
      <w:r w:rsidRPr="00A54612">
        <w:rPr>
          <w:rFonts w:eastAsia="Calibri"/>
          <w:szCs w:val="20"/>
          <w:lang w:val="en-GB"/>
        </w:rPr>
        <w:t xml:space="preserve">ESM </w:t>
      </w:r>
      <w:r w:rsidRPr="00A54612">
        <w:rPr>
          <w:rFonts w:eastAsia="Calibri"/>
          <w:lang w:val="en-US"/>
        </w:rPr>
        <w:t xml:space="preserve">shall operate under neutral mode. </w:t>
      </w:r>
    </w:p>
    <w:p w14:paraId="5E853E02"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szCs w:val="20"/>
          <w:lang w:val="en-GB"/>
        </w:rPr>
        <w:t>In case that system frequency decreases below the threshold value f</w:t>
      </w:r>
      <w:r w:rsidRPr="00A54612">
        <w:rPr>
          <w:rFonts w:eastAsia="Calibri"/>
          <w:szCs w:val="20"/>
          <w:vertAlign w:val="subscript"/>
          <w:lang w:val="en-GB"/>
        </w:rPr>
        <w:t>1</w:t>
      </w:r>
      <w:r w:rsidRPr="00A54612">
        <w:rPr>
          <w:rFonts w:eastAsia="Calibri"/>
          <w:szCs w:val="20"/>
          <w:lang w:val="en-GB"/>
        </w:rPr>
        <w:t xml:space="preserve"> while the ESM consumes active power (i.e., operates at charging mode) the ESM shall reduce the consumed active power (and, if necessary, shall switch to discharging mode within the shortest technically feasible time) until either </w:t>
      </w:r>
      <w:r w:rsidRPr="00A54612">
        <w:rPr>
          <w:rFonts w:eastAsia="Calibri"/>
          <w:lang w:val="en-US"/>
        </w:rPr>
        <w:t>system frequency restores at a value higher than the under-frequency threshold f</w:t>
      </w:r>
      <w:r w:rsidRPr="00A54612">
        <w:rPr>
          <w:rFonts w:eastAsia="Calibri"/>
          <w:vertAlign w:val="subscript"/>
          <w:lang w:val="en-US"/>
        </w:rPr>
        <w:t xml:space="preserve">1 </w:t>
      </w:r>
      <w:r w:rsidRPr="00A54612">
        <w:rPr>
          <w:rFonts w:eastAsia="Calibri"/>
          <w:lang w:val="en-US"/>
        </w:rPr>
        <w:t>or</w:t>
      </w:r>
      <w:r w:rsidRPr="00A54612">
        <w:rPr>
          <w:rFonts w:eastAsia="Calibri"/>
          <w:szCs w:val="20"/>
          <w:lang w:val="en-GB"/>
        </w:rPr>
        <w:t xml:space="preserve"> the ESM minimize its energy content or as agreed between the ESM owner and IPTO. </w:t>
      </w:r>
      <w:r w:rsidRPr="00A54612">
        <w:rPr>
          <w:rFonts w:eastAsia="Calibri"/>
          <w:lang w:val="en-US"/>
        </w:rPr>
        <w:t xml:space="preserve">Upon reaching minimum energy content, the </w:t>
      </w:r>
      <w:r w:rsidRPr="00A54612">
        <w:rPr>
          <w:rFonts w:eastAsia="Calibri"/>
          <w:szCs w:val="20"/>
          <w:lang w:val="en-GB"/>
        </w:rPr>
        <w:t xml:space="preserve">ESM </w:t>
      </w:r>
      <w:r w:rsidRPr="00A54612">
        <w:rPr>
          <w:rFonts w:eastAsia="Calibri"/>
          <w:lang w:val="en-US"/>
        </w:rPr>
        <w:t xml:space="preserve">shall operate under neutral mode. </w:t>
      </w:r>
    </w:p>
    <w:p w14:paraId="38A8C644"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The ESM control system should allow for the implementation of different droop values (adjustable droop between 0,2-5%, default value s = 1%) while should allow for the implementation of any under-frequency threshold between 49,5 Hz and 49,8 Hz inclusive, with a default under-frequency threshold f</w:t>
      </w:r>
      <w:r w:rsidRPr="00A54612">
        <w:rPr>
          <w:rFonts w:eastAsia="Calibri"/>
          <w:vertAlign w:val="subscript"/>
          <w:lang w:val="en-US"/>
        </w:rPr>
        <w:t>1</w:t>
      </w:r>
      <w:r w:rsidRPr="00A54612">
        <w:rPr>
          <w:rFonts w:eastAsia="Calibri"/>
          <w:lang w:val="en-US"/>
        </w:rPr>
        <w:t xml:space="preserve"> = 49,8 Hz, see indicative Figure 10. </w:t>
      </w:r>
    </w:p>
    <w:p w14:paraId="3DCAFBFD"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GB"/>
        </w:rPr>
        <w:t>The tolerance range of operating under maximum discharging level is ±5% of the Pmax or ±5MW (whichever value is smaller).</w:t>
      </w:r>
    </w:p>
    <w:p w14:paraId="2F31F838" w14:textId="77777777" w:rsidR="00A54612" w:rsidRPr="00A54612" w:rsidRDefault="00A54612" w:rsidP="00A54612">
      <w:pPr>
        <w:widowControl/>
        <w:tabs>
          <w:tab w:val="clear" w:pos="1189"/>
        </w:tabs>
        <w:autoSpaceDE/>
        <w:autoSpaceDN/>
        <w:spacing w:after="120" w:line="240" w:lineRule="auto"/>
        <w:ind w:right="0"/>
        <w:rPr>
          <w:rFonts w:eastAsia="Calibri"/>
          <w:szCs w:val="20"/>
          <w:lang w:val="en-GB"/>
        </w:rPr>
      </w:pPr>
    </w:p>
    <w:bookmarkStart w:id="80" w:name="_Ref127271294"/>
    <w:p w14:paraId="2B0C57FC" w14:textId="77777777" w:rsidR="00A54612" w:rsidRPr="00A54612" w:rsidRDefault="00A54612" w:rsidP="00A54612">
      <w:pPr>
        <w:keepNext/>
        <w:widowControl/>
        <w:tabs>
          <w:tab w:val="clear" w:pos="1189"/>
        </w:tabs>
        <w:autoSpaceDE/>
        <w:autoSpaceDN/>
        <w:spacing w:after="120" w:line="240" w:lineRule="auto"/>
        <w:ind w:right="0"/>
        <w:jc w:val="left"/>
        <w:rPr>
          <w:rFonts w:eastAsia="Calibri"/>
          <w:lang w:val="en-US"/>
        </w:rPr>
      </w:pPr>
      <w:r w:rsidRPr="00A54612">
        <w:rPr>
          <w:rFonts w:eastAsia="Calibri"/>
          <w:lang w:val="en-US"/>
        </w:rPr>
        <w:object w:dxaOrig="8295" w:dyaOrig="6195" w14:anchorId="68FFB647">
          <v:shape id="_x0000_i1031" type="#_x0000_t75" style="width:393pt;height:291.75pt" o:ole="">
            <v:imagedata r:id="rId50" o:title=""/>
          </v:shape>
          <o:OLEObject Type="Embed" ProgID="Visio.Drawing.15" ShapeID="_x0000_i1031" DrawAspect="Content" ObjectID="_1748444579" r:id="rId51"/>
        </w:object>
      </w:r>
    </w:p>
    <w:p w14:paraId="139817A5"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81" w:name="_Ref127456320"/>
      <w:r w:rsidRPr="00A54612">
        <w:rPr>
          <w:rFonts w:eastAsia="Calibri"/>
          <w:b/>
          <w:bCs/>
          <w:i/>
          <w:iCs/>
          <w:sz w:val="20"/>
          <w:szCs w:val="20"/>
          <w:lang w:val="en"/>
        </w:rPr>
        <w:t xml:space="preserve">Figure </w:t>
      </w:r>
      <w:bookmarkEnd w:id="80"/>
      <w:bookmarkEnd w:id="81"/>
      <w:r w:rsidRPr="00A54612">
        <w:rPr>
          <w:rFonts w:eastAsia="Calibri"/>
          <w:b/>
          <w:bCs/>
          <w:i/>
          <w:iCs/>
          <w:sz w:val="20"/>
          <w:szCs w:val="20"/>
          <w:lang w:val="en"/>
        </w:rPr>
        <w:t>10: Active power frequency response capability of ESMs in LFSM-U</w:t>
      </w:r>
    </w:p>
    <w:p w14:paraId="4CCFD827" w14:textId="77777777" w:rsidR="00A54612" w:rsidRPr="00A54612" w:rsidRDefault="00A54612" w:rsidP="00A54612">
      <w:pPr>
        <w:widowControl/>
        <w:tabs>
          <w:tab w:val="clear" w:pos="1189"/>
        </w:tabs>
        <w:autoSpaceDE/>
        <w:autoSpaceDN/>
        <w:spacing w:after="120" w:line="240" w:lineRule="auto"/>
        <w:ind w:right="0"/>
        <w:rPr>
          <w:rFonts w:eastAsia="Calibri"/>
          <w:highlight w:val="yellow"/>
          <w:lang w:val="en-US"/>
        </w:rPr>
      </w:pPr>
    </w:p>
    <w:p w14:paraId="5CA42762"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The ESM shall be capable of operating stably during LFSM-U operation. </w:t>
      </w:r>
    </w:p>
    <w:p w14:paraId="2087C4ED"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When LFSM-U is active, the LFSM-U setpoint will prevail over any other active power setpoints.</w:t>
      </w:r>
    </w:p>
    <w:p w14:paraId="139A8846"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The actual delivery of active power frequency response in LFSM-U mode shall </w:t>
      </w:r>
      <w:proofErr w:type="gramStart"/>
      <w:r w:rsidRPr="00A54612">
        <w:rPr>
          <w:rFonts w:eastAsia="Calibri"/>
          <w:lang w:val="en-US"/>
        </w:rPr>
        <w:t>take into account</w:t>
      </w:r>
      <w:proofErr w:type="gramEnd"/>
      <w:r w:rsidRPr="00A54612">
        <w:rPr>
          <w:rFonts w:eastAsia="Calibri"/>
          <w:lang w:val="en-US"/>
        </w:rPr>
        <w:t xml:space="preserve"> the ambient conditions when the response is to be triggered, the operating conditions of the ESM, and the available energy content of the ESM. </w:t>
      </w:r>
    </w:p>
    <w:p w14:paraId="2A6AA68B" w14:textId="77777777" w:rsidR="00A54612" w:rsidRPr="00A54612" w:rsidRDefault="00A54612" w:rsidP="00A54612">
      <w:pPr>
        <w:widowControl/>
        <w:tabs>
          <w:tab w:val="clear" w:pos="1189"/>
        </w:tabs>
        <w:autoSpaceDE/>
        <w:autoSpaceDN/>
        <w:spacing w:after="120" w:line="240" w:lineRule="auto"/>
        <w:ind w:right="0"/>
        <w:rPr>
          <w:rFonts w:eastAsia="Calibri"/>
          <w:highlight w:val="yellow"/>
          <w:lang w:val="en-US"/>
        </w:rPr>
      </w:pPr>
      <w:r w:rsidRPr="00A54612">
        <w:rPr>
          <w:rFonts w:eastAsia="Calibri"/>
          <w:lang w:val="en-US"/>
        </w:rPr>
        <w:t>The ESM shall be able to receive and react on an external signal allowing IPTO to block active power LFSM-U setpoint in real-time.</w:t>
      </w:r>
    </w:p>
    <w:p w14:paraId="5883F66A" w14:textId="7F39BFE3" w:rsidR="00A54612" w:rsidRPr="00A54612" w:rsidRDefault="00A54612" w:rsidP="00A54612">
      <w:pPr>
        <w:widowControl/>
        <w:tabs>
          <w:tab w:val="clear" w:pos="1189"/>
        </w:tabs>
        <w:autoSpaceDE/>
        <w:autoSpaceDN/>
        <w:spacing w:after="120" w:line="240" w:lineRule="auto"/>
        <w:ind w:right="0"/>
        <w:rPr>
          <w:rFonts w:eastAsia="Calibri"/>
          <w:szCs w:val="20"/>
          <w:lang w:val="en-GB"/>
        </w:rPr>
      </w:pPr>
      <w:r w:rsidRPr="00A54612">
        <w:rPr>
          <w:rFonts w:eastAsia="Calibri"/>
          <w:szCs w:val="20"/>
          <w:lang w:val="en-GB"/>
        </w:rPr>
        <w:t xml:space="preserve">With regard the LFSM-U dynamic response (time domain) the step response and settling times for ESMs are defined in </w:t>
      </w:r>
      <w:r w:rsidRPr="00A54612">
        <w:rPr>
          <w:rFonts w:eastAsia="Calibri"/>
          <w:szCs w:val="20"/>
          <w:lang w:val="en-GB"/>
        </w:rPr>
        <w:fldChar w:fldCharType="begin"/>
      </w:r>
      <w:r w:rsidRPr="00A54612">
        <w:rPr>
          <w:rFonts w:eastAsia="Calibri"/>
          <w:szCs w:val="20"/>
          <w:lang w:val="en-GB"/>
        </w:rPr>
        <w:instrText xml:space="preserve"> REF _Ref127275575 \h  \* MERGEFORMAT </w:instrText>
      </w:r>
      <w:r w:rsidRPr="00A54612">
        <w:rPr>
          <w:rFonts w:eastAsia="Calibri"/>
          <w:szCs w:val="20"/>
          <w:lang w:val="en-GB"/>
        </w:rPr>
      </w:r>
      <w:r w:rsidRPr="00A54612">
        <w:rPr>
          <w:rFonts w:eastAsia="Calibri"/>
          <w:szCs w:val="20"/>
          <w:lang w:val="en-GB"/>
        </w:rPr>
        <w:fldChar w:fldCharType="separate"/>
      </w:r>
      <w:r w:rsidR="00464704" w:rsidRPr="00A54612">
        <w:rPr>
          <w:rFonts w:eastAsia="Calibri"/>
          <w:szCs w:val="20"/>
          <w:lang w:val="en-GB"/>
        </w:rPr>
        <w:t xml:space="preserve">Table </w:t>
      </w:r>
      <w:r w:rsidRPr="00A54612">
        <w:rPr>
          <w:rFonts w:eastAsia="Calibri"/>
          <w:szCs w:val="20"/>
          <w:lang w:val="en-GB"/>
        </w:rPr>
        <w:fldChar w:fldCharType="end"/>
      </w:r>
      <w:r w:rsidRPr="00A54612">
        <w:rPr>
          <w:rFonts w:eastAsia="Calibri"/>
          <w:szCs w:val="20"/>
          <w:lang w:val="en-GB"/>
        </w:rPr>
        <w:t>7.</w:t>
      </w:r>
    </w:p>
    <w:p w14:paraId="59912B21" w14:textId="77777777" w:rsidR="00A54612" w:rsidRPr="00A54612" w:rsidRDefault="00A54612" w:rsidP="00A54612">
      <w:pPr>
        <w:widowControl/>
        <w:tabs>
          <w:tab w:val="clear" w:pos="1189"/>
        </w:tabs>
        <w:autoSpaceDE/>
        <w:autoSpaceDN/>
        <w:spacing w:after="120" w:line="240" w:lineRule="auto"/>
        <w:ind w:right="0"/>
        <w:rPr>
          <w:rFonts w:eastAsia="Calibri"/>
          <w:highlight w:val="yellow"/>
          <w:lang w:val="en-US"/>
        </w:rPr>
      </w:pPr>
    </w:p>
    <w:p w14:paraId="31307D09"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82" w:name="_Ref127275575"/>
      <w:r w:rsidRPr="00A54612">
        <w:rPr>
          <w:rFonts w:eastAsia="Calibri"/>
          <w:b/>
          <w:bCs/>
          <w:i/>
          <w:iCs/>
          <w:sz w:val="20"/>
          <w:szCs w:val="20"/>
          <w:lang w:val="en"/>
        </w:rPr>
        <w:t xml:space="preserve">Table </w:t>
      </w:r>
      <w:bookmarkEnd w:id="82"/>
      <w:r w:rsidRPr="00A54612">
        <w:rPr>
          <w:rFonts w:eastAsia="Calibri"/>
          <w:b/>
          <w:bCs/>
          <w:i/>
          <w:iCs/>
          <w:sz w:val="20"/>
          <w:szCs w:val="20"/>
          <w:lang w:val="en"/>
        </w:rPr>
        <w:t>7: Response times for ESMs under LFSM-U operation</w:t>
      </w:r>
    </w:p>
    <w:tbl>
      <w:tblPr>
        <w:tblStyle w:val="af3"/>
        <w:tblW w:w="0" w:type="auto"/>
        <w:jc w:val="center"/>
        <w:tblLook w:val="04A0" w:firstRow="1" w:lastRow="0" w:firstColumn="1" w:lastColumn="0" w:noHBand="0" w:noVBand="1"/>
      </w:tblPr>
      <w:tblGrid>
        <w:gridCol w:w="632"/>
        <w:gridCol w:w="2083"/>
        <w:gridCol w:w="5960"/>
      </w:tblGrid>
      <w:tr w:rsidR="00A54612" w:rsidRPr="00C72D5D" w14:paraId="33034071" w14:textId="77777777" w:rsidTr="00172AED">
        <w:trPr>
          <w:jc w:val="center"/>
        </w:trPr>
        <w:tc>
          <w:tcPr>
            <w:tcW w:w="0" w:type="auto"/>
            <w:vMerge w:val="restart"/>
            <w:vAlign w:val="center"/>
          </w:tcPr>
          <w:p w14:paraId="2C399943" w14:textId="77777777" w:rsidR="00A54612" w:rsidRPr="00A54612" w:rsidRDefault="00A54612" w:rsidP="00A54612">
            <w:pPr>
              <w:tabs>
                <w:tab w:val="clear" w:pos="1189"/>
              </w:tabs>
              <w:spacing w:after="0" w:line="240" w:lineRule="auto"/>
              <w:ind w:right="0"/>
              <w:jc w:val="left"/>
              <w:rPr>
                <w:rFonts w:eastAsia="Calibri"/>
                <w:lang w:val="en-US"/>
              </w:rPr>
            </w:pPr>
            <w:bookmarkStart w:id="83" w:name="_Hlk112232020"/>
            <w:r w:rsidRPr="00A54612">
              <w:rPr>
                <w:rFonts w:eastAsia="Calibri"/>
                <w:lang w:val="en-US"/>
              </w:rPr>
              <w:t>ESM</w:t>
            </w:r>
          </w:p>
        </w:tc>
        <w:tc>
          <w:tcPr>
            <w:tcW w:w="0" w:type="auto"/>
            <w:shd w:val="clear" w:color="auto" w:fill="auto"/>
            <w:vAlign w:val="center"/>
          </w:tcPr>
          <w:p w14:paraId="38B974C2" w14:textId="77777777" w:rsidR="00A54612" w:rsidRPr="00A54612" w:rsidRDefault="00A54612" w:rsidP="00A54612">
            <w:pPr>
              <w:tabs>
                <w:tab w:val="clear" w:pos="1189"/>
              </w:tabs>
              <w:spacing w:after="0" w:line="240" w:lineRule="auto"/>
              <w:ind w:right="0"/>
              <w:jc w:val="left"/>
              <w:rPr>
                <w:rFonts w:eastAsia="Calibri"/>
                <w:bCs/>
                <w:szCs w:val="20"/>
                <w:lang w:val="en"/>
              </w:rPr>
            </w:pPr>
            <w:r w:rsidRPr="00A54612">
              <w:rPr>
                <w:rFonts w:eastAsia="Calibri"/>
                <w:bCs/>
                <w:szCs w:val="20"/>
                <w:lang w:val="en"/>
              </w:rPr>
              <w:t>Step response time</w:t>
            </w:r>
          </w:p>
        </w:tc>
        <w:tc>
          <w:tcPr>
            <w:tcW w:w="0" w:type="auto"/>
            <w:vAlign w:val="center"/>
          </w:tcPr>
          <w:p w14:paraId="3DC11303" w14:textId="77777777" w:rsidR="00A54612" w:rsidRPr="00A54612" w:rsidRDefault="00A54612" w:rsidP="00A54612">
            <w:pPr>
              <w:tabs>
                <w:tab w:val="clear" w:pos="1189"/>
              </w:tabs>
              <w:spacing w:after="0" w:line="240" w:lineRule="auto"/>
              <w:ind w:right="0"/>
              <w:jc w:val="left"/>
              <w:rPr>
                <w:rFonts w:eastAsia="Calibri"/>
                <w:lang w:val="en-US"/>
              </w:rPr>
            </w:pPr>
            <w:r w:rsidRPr="00A54612">
              <w:rPr>
                <w:rFonts w:eastAsia="Calibri"/>
                <w:lang w:val="en-US"/>
              </w:rPr>
              <w:t>≤ 10 sec for an increase (*) of active power of 50% Pmax;</w:t>
            </w:r>
          </w:p>
        </w:tc>
      </w:tr>
      <w:tr w:rsidR="00A54612" w:rsidRPr="00C72D5D" w14:paraId="65EF75DD" w14:textId="77777777" w:rsidTr="00172AED">
        <w:trPr>
          <w:jc w:val="center"/>
        </w:trPr>
        <w:tc>
          <w:tcPr>
            <w:tcW w:w="0" w:type="auto"/>
            <w:vMerge/>
            <w:vAlign w:val="center"/>
          </w:tcPr>
          <w:p w14:paraId="1ECC0D8A" w14:textId="77777777" w:rsidR="00A54612" w:rsidRPr="00A54612" w:rsidRDefault="00A54612" w:rsidP="00A54612">
            <w:pPr>
              <w:tabs>
                <w:tab w:val="clear" w:pos="1189"/>
              </w:tabs>
              <w:spacing w:after="0" w:line="240" w:lineRule="auto"/>
              <w:ind w:right="0"/>
              <w:jc w:val="left"/>
              <w:rPr>
                <w:rFonts w:eastAsia="Calibri"/>
                <w:lang w:val="en-US"/>
              </w:rPr>
            </w:pPr>
          </w:p>
        </w:tc>
        <w:tc>
          <w:tcPr>
            <w:tcW w:w="0" w:type="auto"/>
            <w:shd w:val="clear" w:color="auto" w:fill="auto"/>
            <w:vAlign w:val="center"/>
          </w:tcPr>
          <w:p w14:paraId="15301C7C" w14:textId="77777777" w:rsidR="00A54612" w:rsidRPr="00A54612" w:rsidRDefault="00A54612" w:rsidP="00A54612">
            <w:pPr>
              <w:tabs>
                <w:tab w:val="clear" w:pos="1189"/>
              </w:tabs>
              <w:spacing w:after="0" w:line="240" w:lineRule="auto"/>
              <w:ind w:right="0"/>
              <w:jc w:val="left"/>
              <w:rPr>
                <w:rFonts w:eastAsia="Calibri"/>
                <w:bCs/>
                <w:szCs w:val="20"/>
                <w:lang w:val="en"/>
              </w:rPr>
            </w:pPr>
            <w:r w:rsidRPr="00A54612">
              <w:rPr>
                <w:rFonts w:eastAsia="Calibri"/>
                <w:bCs/>
                <w:szCs w:val="20"/>
                <w:lang w:val="en"/>
              </w:rPr>
              <w:t>Settling time</w:t>
            </w:r>
          </w:p>
        </w:tc>
        <w:tc>
          <w:tcPr>
            <w:tcW w:w="0" w:type="auto"/>
            <w:vAlign w:val="center"/>
          </w:tcPr>
          <w:p w14:paraId="71C1811C" w14:textId="77777777" w:rsidR="00A54612" w:rsidRPr="00A54612" w:rsidRDefault="00A54612" w:rsidP="00A54612">
            <w:pPr>
              <w:tabs>
                <w:tab w:val="clear" w:pos="1189"/>
              </w:tabs>
              <w:spacing w:after="0" w:line="240" w:lineRule="auto"/>
              <w:ind w:right="0"/>
              <w:jc w:val="left"/>
              <w:rPr>
                <w:rFonts w:eastAsia="Calibri"/>
                <w:lang w:val="en-US"/>
              </w:rPr>
            </w:pPr>
            <w:r w:rsidRPr="00A54612">
              <w:rPr>
                <w:rFonts w:eastAsia="Calibri"/>
                <w:lang w:val="en-US"/>
              </w:rPr>
              <w:t xml:space="preserve">≤ 30 sec for an increase (*) of active </w:t>
            </w:r>
            <w:proofErr w:type="gramStart"/>
            <w:r w:rsidRPr="00A54612">
              <w:rPr>
                <w:rFonts w:eastAsia="Calibri"/>
                <w:lang w:val="en-US"/>
              </w:rPr>
              <w:t>power;</w:t>
            </w:r>
            <w:proofErr w:type="gramEnd"/>
          </w:p>
          <w:p w14:paraId="2782F4A0" w14:textId="77777777" w:rsidR="00A54612" w:rsidRPr="00A54612" w:rsidRDefault="00A54612" w:rsidP="00A54612">
            <w:pPr>
              <w:tabs>
                <w:tab w:val="clear" w:pos="1189"/>
              </w:tabs>
              <w:spacing w:after="0" w:line="240" w:lineRule="auto"/>
              <w:ind w:right="0"/>
              <w:jc w:val="left"/>
              <w:rPr>
                <w:rFonts w:eastAsia="Calibri"/>
                <w:lang w:val="en-US"/>
              </w:rPr>
            </w:pPr>
            <w:r w:rsidRPr="00A54612">
              <w:rPr>
                <w:rFonts w:eastAsia="Calibri"/>
                <w:lang w:val="en-US"/>
              </w:rPr>
              <w:t>≤ 20 sec for a decrease (**) of active power</w:t>
            </w:r>
          </w:p>
        </w:tc>
      </w:tr>
    </w:tbl>
    <w:bookmarkEnd w:id="83"/>
    <w:p w14:paraId="2E899406" w14:textId="77777777" w:rsidR="00A54612" w:rsidRPr="00A54612" w:rsidRDefault="00A54612" w:rsidP="00A54612">
      <w:pPr>
        <w:widowControl/>
        <w:tabs>
          <w:tab w:val="clear" w:pos="1189"/>
        </w:tabs>
        <w:autoSpaceDE/>
        <w:autoSpaceDN/>
        <w:spacing w:before="60" w:after="0" w:line="240" w:lineRule="auto"/>
        <w:ind w:left="720" w:right="0" w:hanging="720"/>
        <w:rPr>
          <w:rFonts w:eastAsia="Calibri"/>
          <w:sz w:val="18"/>
          <w:szCs w:val="18"/>
          <w:lang w:val="en-US"/>
        </w:rPr>
      </w:pPr>
      <w:r w:rsidRPr="00A54612">
        <w:rPr>
          <w:rFonts w:eastAsia="Calibri"/>
          <w:sz w:val="18"/>
          <w:szCs w:val="18"/>
          <w:lang w:val="en-US"/>
        </w:rPr>
        <w:t>(*): increase of active power output in case of decreasing frequency while operating under</w:t>
      </w:r>
      <w:r w:rsidRPr="00A54612" w:rsidDel="008A3CE7">
        <w:rPr>
          <w:rFonts w:eastAsia="Calibri"/>
          <w:sz w:val="18"/>
          <w:szCs w:val="18"/>
          <w:lang w:val="en-US"/>
        </w:rPr>
        <w:t xml:space="preserve"> </w:t>
      </w:r>
      <w:r w:rsidRPr="00A54612">
        <w:rPr>
          <w:rFonts w:eastAsia="Calibri"/>
          <w:sz w:val="18"/>
          <w:szCs w:val="18"/>
          <w:lang w:val="en-US"/>
        </w:rPr>
        <w:t xml:space="preserve">LFSM-U </w:t>
      </w:r>
    </w:p>
    <w:p w14:paraId="6F0083DE" w14:textId="77777777" w:rsidR="00A54612" w:rsidRPr="00A54612" w:rsidRDefault="00A54612" w:rsidP="00A54612">
      <w:pPr>
        <w:widowControl/>
        <w:tabs>
          <w:tab w:val="clear" w:pos="1189"/>
        </w:tabs>
        <w:autoSpaceDE/>
        <w:autoSpaceDN/>
        <w:spacing w:after="0" w:line="240" w:lineRule="auto"/>
        <w:ind w:left="720" w:right="0" w:hanging="720"/>
        <w:rPr>
          <w:rFonts w:eastAsia="Calibri"/>
          <w:lang w:val="en-US"/>
        </w:rPr>
      </w:pPr>
      <w:r w:rsidRPr="00A54612">
        <w:rPr>
          <w:rFonts w:eastAsia="Calibri"/>
          <w:sz w:val="18"/>
          <w:szCs w:val="18"/>
          <w:lang w:val="en-US"/>
        </w:rPr>
        <w:t>(**): decrease of active power output in case of increasing frequency while operating under</w:t>
      </w:r>
      <w:r w:rsidRPr="00A54612" w:rsidDel="008A3CE7">
        <w:rPr>
          <w:rFonts w:eastAsia="Calibri"/>
          <w:sz w:val="18"/>
          <w:szCs w:val="18"/>
          <w:lang w:val="en-US"/>
        </w:rPr>
        <w:t xml:space="preserve"> </w:t>
      </w:r>
      <w:r w:rsidRPr="00A54612">
        <w:rPr>
          <w:rFonts w:eastAsia="Calibri"/>
          <w:sz w:val="18"/>
          <w:szCs w:val="18"/>
          <w:lang w:val="en-US"/>
        </w:rPr>
        <w:t xml:space="preserve">LFSM-U </w:t>
      </w:r>
    </w:p>
    <w:p w14:paraId="01CFC5C0"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1AE21205" w14:textId="3E9E42B3" w:rsidR="00A54612" w:rsidRPr="00A54612" w:rsidRDefault="007A3E7A" w:rsidP="00A54612">
      <w:pPr>
        <w:keepNext/>
        <w:keepLines/>
        <w:widowControl/>
        <w:tabs>
          <w:tab w:val="clear" w:pos="1189"/>
        </w:tabs>
        <w:autoSpaceDE/>
        <w:autoSpaceDN/>
        <w:spacing w:before="240" w:after="240" w:line="240" w:lineRule="auto"/>
        <w:ind w:left="567" w:right="0" w:hanging="567"/>
        <w:jc w:val="left"/>
        <w:outlineLvl w:val="0"/>
        <w:rPr>
          <w:b/>
          <w:sz w:val="32"/>
          <w:szCs w:val="32"/>
          <w:lang w:val="en-US"/>
        </w:rPr>
      </w:pPr>
      <w:bookmarkStart w:id="84" w:name="_Toc137323494"/>
      <w:r w:rsidRPr="00214E69">
        <w:rPr>
          <w:b/>
          <w:sz w:val="32"/>
          <w:szCs w:val="32"/>
          <w:lang w:val="en-US"/>
        </w:rPr>
        <w:t xml:space="preserve">5 </w:t>
      </w:r>
      <w:r w:rsidR="00A54612" w:rsidRPr="00A54612">
        <w:rPr>
          <w:b/>
          <w:sz w:val="32"/>
          <w:szCs w:val="32"/>
          <w:lang w:val="en-US"/>
        </w:rPr>
        <w:t xml:space="preserve">Reactive power capability for </w:t>
      </w:r>
      <w:bookmarkStart w:id="85" w:name="_Hlk126859680"/>
      <w:r w:rsidR="00A54612" w:rsidRPr="00A54612">
        <w:rPr>
          <w:b/>
          <w:sz w:val="32"/>
          <w:szCs w:val="32"/>
          <w:lang w:val="en-US"/>
        </w:rPr>
        <w:t>ESM</w:t>
      </w:r>
      <w:bookmarkEnd w:id="84"/>
      <w:bookmarkEnd w:id="85"/>
    </w:p>
    <w:p w14:paraId="6DDA174B"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All ESMs connected to the HETS should contribute to the voltage control at the CP by providing (injecting or absorbing) reactive power. </w:t>
      </w:r>
    </w:p>
    <w:p w14:paraId="62BC820B"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In this Technical Guideline, the reactive power capability of an </w:t>
      </w:r>
      <w:bookmarkStart w:id="86" w:name="_Hlk126859710"/>
      <w:r w:rsidRPr="00A54612">
        <w:rPr>
          <w:rFonts w:eastAsia="Calibri"/>
          <w:lang w:val="en-US"/>
        </w:rPr>
        <w:t xml:space="preserve">ESM </w:t>
      </w:r>
      <w:bookmarkEnd w:id="86"/>
      <w:r w:rsidRPr="00A54612">
        <w:rPr>
          <w:rFonts w:eastAsia="Calibri"/>
          <w:lang w:val="en-US"/>
        </w:rPr>
        <w:t xml:space="preserve">is specified by two complementary curves in the context of both varying voltage at the CP and ESM active power generation. </w:t>
      </w:r>
    </w:p>
    <w:p w14:paraId="74D5CC1D"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lastRenderedPageBreak/>
        <w:t>The first curve considers that the ESM operates at its maximum capacity</w:t>
      </w:r>
      <w:r w:rsidRPr="00A54612">
        <w:rPr>
          <w:rFonts w:eastAsia="Calibri"/>
          <w:vertAlign w:val="superscript"/>
          <w:lang w:val="en-US"/>
        </w:rPr>
        <w:footnoteReference w:id="11"/>
      </w:r>
      <w:r w:rsidRPr="00A54612">
        <w:rPr>
          <w:rFonts w:eastAsia="Calibri"/>
          <w:lang w:val="en-US"/>
        </w:rPr>
        <w:t xml:space="preserve"> (P=Pmax) and is defined as a U-Q/Pmax -profile of the voltage at the CP (“U”, expressed in p.u. of the reference voltage at the CP), against the ratio of the reactive power flow “Q” at the CP and ESM maximum capacity (Pmax).   </w:t>
      </w:r>
    </w:p>
    <w:p w14:paraId="490478DC"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The second curve considers that the ESM operates below its maximum capacity (P&lt;Pmax) and is defined as a P-Q/Pmax -profile of the ESM active power generation (“P”, expressed in p.u. with regard ESM’s maximum capacity), against the ratio of the reactive power flow “Q” at the CP and ESM maximum capacity (Pmax).</w:t>
      </w:r>
    </w:p>
    <w:p w14:paraId="4B9D615E"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In both curves, the reactive power flow is considered as positive (+Q) when injected to the CP and as negative (-Q) when absorbed from the CP.</w:t>
      </w:r>
    </w:p>
    <w:p w14:paraId="6FAD3DFE"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The voltage profile (U) at the CP (defined by the first curve, P=Pmax) should also be respected when considering ESM operation below its maximum capacity (second curve, P&lt;Pmax). </w:t>
      </w:r>
    </w:p>
    <w:p w14:paraId="64303A39" w14:textId="59A88C9B"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ESMs connected at a CP of 150kV nominal voltage and while operating at maximum generating capacity (Pmax) shall be capable of supplying or absorbing reactive power at the CP within and including the limits of the red marked U-Q/Pmax profile in </w:t>
      </w:r>
      <w:r w:rsidRPr="00A54612">
        <w:rPr>
          <w:rFonts w:eastAsia="Calibri"/>
          <w:lang w:val="en-US"/>
        </w:rPr>
        <w:fldChar w:fldCharType="begin"/>
      </w:r>
      <w:r w:rsidRPr="00A54612">
        <w:rPr>
          <w:rFonts w:eastAsia="Calibri"/>
          <w:lang w:val="en-US"/>
        </w:rPr>
        <w:instrText xml:space="preserve"> REF _Ref127343181 \h  \* MERGEFORMAT </w:instrText>
      </w:r>
      <w:r w:rsidRPr="00A54612">
        <w:rPr>
          <w:rFonts w:eastAsia="Calibri"/>
          <w:lang w:val="en-US"/>
        </w:rPr>
      </w:r>
      <w:r w:rsidRPr="00A54612">
        <w:rPr>
          <w:rFonts w:eastAsia="Calibri"/>
          <w:lang w:val="en-US"/>
        </w:rPr>
        <w:fldChar w:fldCharType="separate"/>
      </w:r>
      <w:r w:rsidR="00464704" w:rsidRPr="00A54612">
        <w:rPr>
          <w:rFonts w:eastAsia="Calibri"/>
          <w:lang w:val="en-US"/>
        </w:rPr>
        <w:t xml:space="preserve">Figure </w:t>
      </w:r>
      <w:r w:rsidR="00464704" w:rsidRPr="00464704">
        <w:rPr>
          <w:rFonts w:eastAsia="Calibri"/>
          <w:lang w:val="en-US"/>
        </w:rPr>
        <w:t>1</w:t>
      </w:r>
      <w:r w:rsidRPr="00A54612">
        <w:rPr>
          <w:rFonts w:eastAsia="Calibri"/>
          <w:lang w:val="en-US"/>
        </w:rPr>
        <w:fldChar w:fldCharType="end"/>
      </w:r>
      <w:r w:rsidRPr="00A54612">
        <w:rPr>
          <w:rFonts w:eastAsia="Calibri"/>
          <w:lang w:val="en-US"/>
        </w:rPr>
        <w:t xml:space="preserve">, where U is the voltage level at the CP expressed in p.u. of the reference value (150kV), Q is the reactive power flow at the CP and Pmax is the maximum capacity of the ESM. </w:t>
      </w:r>
    </w:p>
    <w:p w14:paraId="29368DC7" w14:textId="7A73E2BA"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ESMs connected at a CP of 400kV nominal voltage and while operating at maximum generating capacity (Pmax) shall be capable of supplying or absorbing reactive power at the CP within and including the limits of the red marked U-Q/Pmax profile in </w:t>
      </w:r>
      <w:r w:rsidRPr="00A54612">
        <w:rPr>
          <w:rFonts w:eastAsia="Calibri"/>
          <w:lang w:val="en-US"/>
        </w:rPr>
        <w:fldChar w:fldCharType="begin"/>
      </w:r>
      <w:r w:rsidRPr="00A54612">
        <w:rPr>
          <w:rFonts w:eastAsia="Calibri"/>
          <w:lang w:val="en-US"/>
        </w:rPr>
        <w:instrText xml:space="preserve"> REF _Ref127343194 \h  \* MERGEFORMAT </w:instrText>
      </w:r>
      <w:r w:rsidRPr="00A54612">
        <w:rPr>
          <w:rFonts w:eastAsia="Calibri"/>
          <w:lang w:val="en-US"/>
        </w:rPr>
      </w:r>
      <w:r w:rsidRPr="00A54612">
        <w:rPr>
          <w:rFonts w:eastAsia="Calibri"/>
          <w:lang w:val="en-US"/>
        </w:rPr>
        <w:fldChar w:fldCharType="separate"/>
      </w:r>
      <w:r w:rsidR="00464704" w:rsidRPr="00A54612">
        <w:rPr>
          <w:rFonts w:eastAsia="Calibri"/>
          <w:lang w:val="en-US"/>
        </w:rPr>
        <w:t xml:space="preserve">Figure </w:t>
      </w:r>
      <w:r w:rsidR="00464704" w:rsidRPr="00464704">
        <w:rPr>
          <w:rFonts w:eastAsia="Calibri"/>
          <w:lang w:val="en-US"/>
        </w:rPr>
        <w:t>2</w:t>
      </w:r>
      <w:r w:rsidRPr="00A54612">
        <w:rPr>
          <w:rFonts w:eastAsia="Calibri"/>
          <w:lang w:val="en-US"/>
        </w:rPr>
        <w:fldChar w:fldCharType="end"/>
      </w:r>
      <w:r w:rsidRPr="00A54612">
        <w:rPr>
          <w:rFonts w:eastAsia="Calibri"/>
          <w:lang w:val="en-US"/>
        </w:rPr>
        <w:t xml:space="preserve">, where U is the voltage level at the CP expressed in p.u. of the reference value (400kV), Q is the reactive power flow at the CP and Pmax is the maximum capacity of the ESM. </w:t>
      </w:r>
    </w:p>
    <w:p w14:paraId="2CE9C271"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1ED536E7" w14:textId="77777777" w:rsidR="00A54612" w:rsidRPr="00A54612" w:rsidRDefault="00A54612" w:rsidP="00A54612">
      <w:pPr>
        <w:widowControl/>
        <w:tabs>
          <w:tab w:val="clear" w:pos="1189"/>
        </w:tabs>
        <w:autoSpaceDE/>
        <w:autoSpaceDN/>
        <w:spacing w:after="120" w:line="240" w:lineRule="auto"/>
        <w:ind w:right="0"/>
        <w:jc w:val="center"/>
        <w:rPr>
          <w:rFonts w:eastAsia="Calibri"/>
          <w:lang w:val="en-US"/>
        </w:rPr>
      </w:pPr>
      <w:r w:rsidRPr="00A54612">
        <w:rPr>
          <w:rFonts w:eastAsia="Calibri"/>
          <w:noProof/>
          <w:lang w:val="en-US"/>
        </w:rPr>
        <w:drawing>
          <wp:inline distT="0" distB="0" distL="0" distR="0" wp14:anchorId="22583ECF" wp14:editId="2E6E55FB">
            <wp:extent cx="4600000" cy="2742857"/>
            <wp:effectExtent l="0" t="0" r="0" b="635"/>
            <wp:docPr id="4" name="Picture 4" descr="Εικόνα που περιέχει κείμενο, στιγμιότυπο οθόνης, γραμμή,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Εικόνα που περιέχει κείμενο, στιγμιότυπο οθόνης, γραμμή, γραμματοσειρά&#10;&#10;Περιγραφή που δημιουργήθηκε αυτόματα"/>
                    <pic:cNvPicPr/>
                  </pic:nvPicPr>
                  <pic:blipFill>
                    <a:blip r:embed="rId52"/>
                    <a:stretch>
                      <a:fillRect/>
                    </a:stretch>
                  </pic:blipFill>
                  <pic:spPr>
                    <a:xfrm>
                      <a:off x="0" y="0"/>
                      <a:ext cx="4600000" cy="2742857"/>
                    </a:xfrm>
                    <a:prstGeom prst="rect">
                      <a:avLst/>
                    </a:prstGeom>
                  </pic:spPr>
                </pic:pic>
              </a:graphicData>
            </a:graphic>
          </wp:inline>
        </w:drawing>
      </w:r>
    </w:p>
    <w:p w14:paraId="74A80B30" w14:textId="276DC63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87" w:name="_Ref127343181"/>
      <w:r w:rsidRPr="00A54612">
        <w:rPr>
          <w:rFonts w:eastAsia="Calibri"/>
          <w:b/>
          <w:bCs/>
          <w:i/>
          <w:iCs/>
          <w:sz w:val="20"/>
          <w:szCs w:val="20"/>
          <w:lang w:val="en"/>
        </w:rPr>
        <w:lastRenderedPageBreak/>
        <w:t xml:space="preserve">Figure </w:t>
      </w:r>
      <w:r w:rsidRPr="00A54612">
        <w:rPr>
          <w:rFonts w:eastAsia="Calibri"/>
          <w:b/>
          <w:bCs/>
          <w:i/>
          <w:iCs/>
          <w:sz w:val="20"/>
          <w:szCs w:val="20"/>
          <w:lang w:val="en"/>
        </w:rPr>
        <w:fldChar w:fldCharType="begin"/>
      </w:r>
      <w:r w:rsidRPr="00A54612">
        <w:rPr>
          <w:rFonts w:eastAsia="Calibri"/>
          <w:b/>
          <w:bCs/>
          <w:i/>
          <w:iCs/>
          <w:sz w:val="20"/>
          <w:szCs w:val="20"/>
          <w:lang w:val="en"/>
        </w:rPr>
        <w:instrText xml:space="preserve"> SEQ Figure \* ARABIC </w:instrText>
      </w:r>
      <w:r w:rsidRPr="00A54612">
        <w:rPr>
          <w:rFonts w:eastAsia="Calibri"/>
          <w:b/>
          <w:bCs/>
          <w:i/>
          <w:iCs/>
          <w:sz w:val="20"/>
          <w:szCs w:val="20"/>
          <w:lang w:val="en"/>
        </w:rPr>
        <w:fldChar w:fldCharType="separate"/>
      </w:r>
      <w:r w:rsidR="00363717">
        <w:rPr>
          <w:rFonts w:eastAsia="Calibri"/>
          <w:b/>
          <w:bCs/>
          <w:i/>
          <w:iCs/>
          <w:noProof/>
          <w:sz w:val="20"/>
          <w:szCs w:val="20"/>
          <w:lang w:val="en"/>
        </w:rPr>
        <w:t>1</w:t>
      </w:r>
      <w:r w:rsidRPr="00A54612">
        <w:rPr>
          <w:rFonts w:eastAsia="Calibri"/>
          <w:b/>
          <w:bCs/>
          <w:i/>
          <w:iCs/>
          <w:sz w:val="20"/>
          <w:szCs w:val="20"/>
          <w:lang w:val="en"/>
        </w:rPr>
        <w:fldChar w:fldCharType="end"/>
      </w:r>
      <w:bookmarkEnd w:id="87"/>
      <w:r w:rsidRPr="00A54612">
        <w:rPr>
          <w:rFonts w:eastAsia="Calibri"/>
          <w:b/>
          <w:bCs/>
          <w:i/>
          <w:iCs/>
          <w:sz w:val="20"/>
          <w:szCs w:val="20"/>
          <w:lang w:val="en"/>
        </w:rPr>
        <w:t xml:space="preserve">:  U-Q/Pmax-profile of ESMs connected at </w:t>
      </w:r>
      <w:proofErr w:type="gramStart"/>
      <w:r w:rsidRPr="00A54612">
        <w:rPr>
          <w:rFonts w:eastAsia="Calibri"/>
          <w:b/>
          <w:bCs/>
          <w:i/>
          <w:iCs/>
          <w:sz w:val="20"/>
          <w:szCs w:val="20"/>
          <w:lang w:val="en"/>
        </w:rPr>
        <w:t>150kV</w:t>
      </w:r>
      <w:proofErr w:type="gramEnd"/>
    </w:p>
    <w:p w14:paraId="6DC23762" w14:textId="77777777" w:rsidR="00A54612" w:rsidRPr="00A54612" w:rsidRDefault="00A54612" w:rsidP="00A54612">
      <w:pPr>
        <w:widowControl/>
        <w:tabs>
          <w:tab w:val="clear" w:pos="1189"/>
        </w:tabs>
        <w:autoSpaceDE/>
        <w:autoSpaceDN/>
        <w:spacing w:after="120" w:line="240" w:lineRule="auto"/>
        <w:ind w:right="0"/>
        <w:jc w:val="center"/>
        <w:rPr>
          <w:rFonts w:eastAsia="Calibri"/>
          <w:lang w:val="en-US"/>
        </w:rPr>
      </w:pPr>
      <w:r w:rsidRPr="00A54612">
        <w:rPr>
          <w:rFonts w:eastAsia="Calibri"/>
          <w:noProof/>
          <w:lang w:val="en-US"/>
        </w:rPr>
        <w:drawing>
          <wp:inline distT="0" distB="0" distL="0" distR="0" wp14:anchorId="59E53C4C" wp14:editId="4A471FB4">
            <wp:extent cx="4600000" cy="2742857"/>
            <wp:effectExtent l="0" t="0" r="0" b="63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53"/>
                    <a:stretch>
                      <a:fillRect/>
                    </a:stretch>
                  </pic:blipFill>
                  <pic:spPr>
                    <a:xfrm>
                      <a:off x="0" y="0"/>
                      <a:ext cx="4600000" cy="2742857"/>
                    </a:xfrm>
                    <a:prstGeom prst="rect">
                      <a:avLst/>
                    </a:prstGeom>
                  </pic:spPr>
                </pic:pic>
              </a:graphicData>
            </a:graphic>
          </wp:inline>
        </w:drawing>
      </w:r>
    </w:p>
    <w:p w14:paraId="4ED389AF" w14:textId="6CB8016F"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88" w:name="_Ref127343194"/>
      <w:r w:rsidRPr="00A54612">
        <w:rPr>
          <w:rFonts w:eastAsia="Calibri"/>
          <w:b/>
          <w:bCs/>
          <w:i/>
          <w:iCs/>
          <w:sz w:val="20"/>
          <w:szCs w:val="20"/>
          <w:lang w:val="en"/>
        </w:rPr>
        <w:t xml:space="preserve">Figure </w:t>
      </w:r>
      <w:r w:rsidRPr="00A54612">
        <w:rPr>
          <w:rFonts w:eastAsia="Calibri"/>
          <w:b/>
          <w:bCs/>
          <w:i/>
          <w:iCs/>
          <w:sz w:val="20"/>
          <w:szCs w:val="20"/>
          <w:lang w:val="en"/>
        </w:rPr>
        <w:fldChar w:fldCharType="begin"/>
      </w:r>
      <w:r w:rsidRPr="00A54612">
        <w:rPr>
          <w:rFonts w:eastAsia="Calibri"/>
          <w:b/>
          <w:bCs/>
          <w:i/>
          <w:iCs/>
          <w:sz w:val="20"/>
          <w:szCs w:val="20"/>
          <w:lang w:val="en"/>
        </w:rPr>
        <w:instrText xml:space="preserve"> SEQ Figure \* ARABIC </w:instrText>
      </w:r>
      <w:r w:rsidRPr="00A54612">
        <w:rPr>
          <w:rFonts w:eastAsia="Calibri"/>
          <w:b/>
          <w:bCs/>
          <w:i/>
          <w:iCs/>
          <w:sz w:val="20"/>
          <w:szCs w:val="20"/>
          <w:lang w:val="en"/>
        </w:rPr>
        <w:fldChar w:fldCharType="separate"/>
      </w:r>
      <w:r w:rsidR="00363717">
        <w:rPr>
          <w:rFonts w:eastAsia="Calibri"/>
          <w:b/>
          <w:bCs/>
          <w:i/>
          <w:iCs/>
          <w:noProof/>
          <w:sz w:val="20"/>
          <w:szCs w:val="20"/>
          <w:lang w:val="en"/>
        </w:rPr>
        <w:t>2</w:t>
      </w:r>
      <w:r w:rsidRPr="00A54612">
        <w:rPr>
          <w:rFonts w:eastAsia="Calibri"/>
          <w:b/>
          <w:bCs/>
          <w:i/>
          <w:iCs/>
          <w:sz w:val="20"/>
          <w:szCs w:val="20"/>
          <w:lang w:val="en"/>
        </w:rPr>
        <w:fldChar w:fldCharType="end"/>
      </w:r>
      <w:bookmarkEnd w:id="88"/>
      <w:r w:rsidRPr="00A54612">
        <w:rPr>
          <w:rFonts w:eastAsia="Calibri"/>
          <w:b/>
          <w:bCs/>
          <w:i/>
          <w:iCs/>
          <w:sz w:val="20"/>
          <w:szCs w:val="20"/>
          <w:lang w:val="en"/>
        </w:rPr>
        <w:t xml:space="preserve">: U-Q/Pmax-profile of ESMs connected at </w:t>
      </w:r>
      <w:proofErr w:type="gramStart"/>
      <w:r w:rsidRPr="00A54612">
        <w:rPr>
          <w:rFonts w:eastAsia="Calibri"/>
          <w:b/>
          <w:bCs/>
          <w:i/>
          <w:iCs/>
          <w:sz w:val="20"/>
          <w:szCs w:val="20"/>
          <w:lang w:val="en"/>
        </w:rPr>
        <w:t>400kV</w:t>
      </w:r>
      <w:proofErr w:type="gramEnd"/>
    </w:p>
    <w:p w14:paraId="2455EBBF"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0F41CAD1"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The </w:t>
      </w:r>
      <w:bookmarkStart w:id="89" w:name="_Hlk131069964"/>
      <w:r w:rsidRPr="00A54612">
        <w:rPr>
          <w:rFonts w:eastAsia="Calibri"/>
          <w:lang w:val="en-US"/>
        </w:rPr>
        <w:t xml:space="preserve">ESM </w:t>
      </w:r>
      <w:bookmarkEnd w:id="89"/>
      <w:r w:rsidRPr="00A54612">
        <w:rPr>
          <w:rFonts w:eastAsia="Calibri"/>
          <w:lang w:val="en-US"/>
        </w:rPr>
        <w:t xml:space="preserve">minimum reactive power “-Qmin” has a negative value and is the maximum reactive power that is absorbed from the CP.  </w:t>
      </w:r>
    </w:p>
    <w:p w14:paraId="6A0E71E4"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The ESM maximum reactive power “+</w:t>
      </w:r>
      <w:proofErr w:type="gramStart"/>
      <w:r w:rsidRPr="00A54612">
        <w:rPr>
          <w:rFonts w:eastAsia="Calibri"/>
          <w:lang w:val="en-US"/>
        </w:rPr>
        <w:t>Qmax“ has</w:t>
      </w:r>
      <w:proofErr w:type="gramEnd"/>
      <w:r w:rsidRPr="00A54612">
        <w:rPr>
          <w:rFonts w:eastAsia="Calibri"/>
          <w:lang w:val="en-US"/>
        </w:rPr>
        <w:t xml:space="preserve"> a positive value and is the maximum reactive power that is injected to the CP.</w:t>
      </w:r>
    </w:p>
    <w:p w14:paraId="473419FC" w14:textId="19CCC644" w:rsidR="00A54612" w:rsidRPr="00A54612" w:rsidRDefault="00A54612" w:rsidP="00A54612">
      <w:pPr>
        <w:tabs>
          <w:tab w:val="clear" w:pos="1189"/>
        </w:tabs>
        <w:autoSpaceDE/>
        <w:autoSpaceDN/>
        <w:spacing w:after="120" w:line="240" w:lineRule="auto"/>
        <w:ind w:right="0"/>
        <w:rPr>
          <w:rFonts w:eastAsia="Calibri"/>
          <w:lang w:val="en-US"/>
        </w:rPr>
      </w:pPr>
      <w:r w:rsidRPr="00A54612">
        <w:rPr>
          <w:rFonts w:eastAsia="Calibri"/>
          <w:lang w:val="en-US"/>
        </w:rPr>
        <w:t xml:space="preserve">Both “-Qmin” and “+Qmax” can be expressed as a percentage (%) of ESM maximum capacity (Pmax) as illustrated in </w:t>
      </w:r>
      <w:r w:rsidRPr="00A54612">
        <w:rPr>
          <w:rFonts w:eastAsia="Calibri"/>
          <w:lang w:val="en-US"/>
        </w:rPr>
        <w:fldChar w:fldCharType="begin"/>
      </w:r>
      <w:r w:rsidRPr="00A54612">
        <w:rPr>
          <w:rFonts w:eastAsia="Calibri"/>
          <w:lang w:val="en-US"/>
        </w:rPr>
        <w:instrText xml:space="preserve"> REF _Ref127343341 \h  \* MERGEFORMAT </w:instrText>
      </w:r>
      <w:r w:rsidRPr="00A54612">
        <w:rPr>
          <w:rFonts w:eastAsia="Calibri"/>
          <w:lang w:val="en-US"/>
        </w:rPr>
      </w:r>
      <w:r w:rsidRPr="00A54612">
        <w:rPr>
          <w:rFonts w:eastAsia="Calibri"/>
          <w:lang w:val="en-US"/>
        </w:rPr>
        <w:fldChar w:fldCharType="separate"/>
      </w:r>
      <w:r w:rsidR="00464704" w:rsidRPr="00A54612">
        <w:rPr>
          <w:rFonts w:eastAsia="Calibri"/>
          <w:lang w:val="en-US"/>
        </w:rPr>
        <w:t>Table</w:t>
      </w:r>
      <w:r w:rsidRPr="00A54612">
        <w:rPr>
          <w:rFonts w:eastAsia="Calibri"/>
          <w:lang w:val="en-US"/>
        </w:rPr>
        <w:fldChar w:fldCharType="end"/>
      </w:r>
      <w:r w:rsidRPr="00A54612">
        <w:rPr>
          <w:rFonts w:eastAsia="Calibri"/>
          <w:lang w:val="en-US"/>
        </w:rPr>
        <w:t>8.</w:t>
      </w:r>
    </w:p>
    <w:p w14:paraId="34D5B070"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p>
    <w:p w14:paraId="04DE9501" w14:textId="77777777" w:rsidR="00A54612" w:rsidRPr="00A54612" w:rsidRDefault="00A54612" w:rsidP="00A54612">
      <w:pPr>
        <w:keepNext/>
        <w:widowControl/>
        <w:tabs>
          <w:tab w:val="clear" w:pos="1189"/>
        </w:tabs>
        <w:autoSpaceDE/>
        <w:autoSpaceDN/>
        <w:spacing w:after="120" w:line="240" w:lineRule="auto"/>
        <w:ind w:right="0"/>
        <w:jc w:val="center"/>
        <w:rPr>
          <w:rFonts w:eastAsia="Calibri"/>
          <w:b/>
          <w:bCs/>
          <w:i/>
          <w:iCs/>
          <w:sz w:val="20"/>
          <w:szCs w:val="20"/>
          <w:lang w:val="en"/>
        </w:rPr>
      </w:pPr>
      <w:bookmarkStart w:id="90" w:name="_Ref127343341"/>
      <w:r w:rsidRPr="00A54612">
        <w:rPr>
          <w:rFonts w:eastAsia="Calibri"/>
          <w:b/>
          <w:bCs/>
          <w:i/>
          <w:iCs/>
          <w:sz w:val="20"/>
          <w:szCs w:val="20"/>
          <w:lang w:val="en"/>
        </w:rPr>
        <w:t>Table</w:t>
      </w:r>
      <w:bookmarkEnd w:id="90"/>
      <w:r w:rsidRPr="00A54612">
        <w:rPr>
          <w:rFonts w:eastAsia="Calibri"/>
          <w:b/>
          <w:bCs/>
          <w:i/>
          <w:iCs/>
          <w:sz w:val="20"/>
          <w:szCs w:val="20"/>
          <w:lang w:val="en"/>
        </w:rPr>
        <w:t xml:space="preserve"> 8: Definition of ESM maximum and minimum reactive power</w:t>
      </w:r>
    </w:p>
    <w:tbl>
      <w:tblPr>
        <w:tblStyle w:val="af3"/>
        <w:tblW w:w="0" w:type="auto"/>
        <w:jc w:val="center"/>
        <w:tblLook w:val="04A0" w:firstRow="1" w:lastRow="0" w:firstColumn="1" w:lastColumn="0" w:noHBand="0" w:noVBand="1"/>
      </w:tblPr>
      <w:tblGrid>
        <w:gridCol w:w="3450"/>
        <w:gridCol w:w="3191"/>
      </w:tblGrid>
      <w:tr w:rsidR="00A54612" w:rsidRPr="00C72D5D" w14:paraId="06F55FE7" w14:textId="77777777" w:rsidTr="00172AED">
        <w:trPr>
          <w:jc w:val="center"/>
        </w:trPr>
        <w:tc>
          <w:tcPr>
            <w:tcW w:w="0" w:type="auto"/>
            <w:vAlign w:val="center"/>
          </w:tcPr>
          <w:p w14:paraId="6A06F272" w14:textId="77777777" w:rsidR="00A54612" w:rsidRPr="00A54612" w:rsidRDefault="00A54612" w:rsidP="00A54612">
            <w:pPr>
              <w:tabs>
                <w:tab w:val="clear" w:pos="1189"/>
              </w:tabs>
              <w:spacing w:after="0" w:line="240" w:lineRule="auto"/>
              <w:ind w:right="0"/>
              <w:jc w:val="center"/>
              <w:rPr>
                <w:rFonts w:eastAsia="Calibri"/>
                <w:b/>
                <w:bCs/>
                <w:sz w:val="20"/>
                <w:szCs w:val="20"/>
                <w:lang w:val="en-US"/>
              </w:rPr>
            </w:pPr>
            <w:r w:rsidRPr="00A54612">
              <w:rPr>
                <w:rFonts w:eastAsia="Calibri"/>
                <w:b/>
                <w:bCs/>
                <w:sz w:val="20"/>
                <w:szCs w:val="20"/>
                <w:lang w:val="en-US"/>
              </w:rPr>
              <w:t>Minimum reactive power</w:t>
            </w:r>
          </w:p>
          <w:p w14:paraId="278FEA43" w14:textId="77777777" w:rsidR="00A54612" w:rsidRPr="00A54612" w:rsidRDefault="00A54612" w:rsidP="00A54612">
            <w:pPr>
              <w:tabs>
                <w:tab w:val="clear" w:pos="1189"/>
              </w:tabs>
              <w:spacing w:after="0" w:line="240" w:lineRule="auto"/>
              <w:ind w:right="0"/>
              <w:jc w:val="center"/>
              <w:rPr>
                <w:rFonts w:eastAsia="Calibri"/>
                <w:b/>
                <w:bCs/>
                <w:sz w:val="20"/>
                <w:szCs w:val="20"/>
                <w:lang w:val="en-US"/>
              </w:rPr>
            </w:pPr>
            <w:r w:rsidRPr="00A54612">
              <w:rPr>
                <w:rFonts w:eastAsia="Calibri"/>
                <w:b/>
                <w:bCs/>
                <w:sz w:val="20"/>
                <w:szCs w:val="20"/>
                <w:lang w:val="en-US"/>
              </w:rPr>
              <w:t>(“-Qmin” absorbed from the CP)</w:t>
            </w:r>
          </w:p>
        </w:tc>
        <w:tc>
          <w:tcPr>
            <w:tcW w:w="0" w:type="auto"/>
            <w:vAlign w:val="center"/>
          </w:tcPr>
          <w:p w14:paraId="571AE6ED" w14:textId="77777777" w:rsidR="00A54612" w:rsidRPr="00A54612" w:rsidRDefault="00A54612" w:rsidP="00A54612">
            <w:pPr>
              <w:tabs>
                <w:tab w:val="clear" w:pos="1189"/>
              </w:tabs>
              <w:spacing w:after="0" w:line="240" w:lineRule="auto"/>
              <w:ind w:right="0"/>
              <w:jc w:val="center"/>
              <w:rPr>
                <w:rFonts w:eastAsia="Calibri"/>
                <w:b/>
                <w:bCs/>
                <w:sz w:val="20"/>
                <w:szCs w:val="20"/>
                <w:lang w:val="en-US"/>
              </w:rPr>
            </w:pPr>
            <w:r w:rsidRPr="00A54612">
              <w:rPr>
                <w:rFonts w:eastAsia="Calibri"/>
                <w:b/>
                <w:bCs/>
                <w:sz w:val="20"/>
                <w:szCs w:val="20"/>
                <w:lang w:val="en-US"/>
              </w:rPr>
              <w:t>Maximum reactive power</w:t>
            </w:r>
          </w:p>
          <w:p w14:paraId="3E1A0317" w14:textId="77777777" w:rsidR="00A54612" w:rsidRPr="00A54612" w:rsidRDefault="00A54612" w:rsidP="00A54612">
            <w:pPr>
              <w:tabs>
                <w:tab w:val="clear" w:pos="1189"/>
              </w:tabs>
              <w:spacing w:after="0" w:line="240" w:lineRule="auto"/>
              <w:ind w:right="0"/>
              <w:jc w:val="center"/>
              <w:rPr>
                <w:rFonts w:eastAsia="Calibri"/>
                <w:b/>
                <w:bCs/>
                <w:sz w:val="20"/>
                <w:szCs w:val="20"/>
                <w:lang w:val="en-US"/>
              </w:rPr>
            </w:pPr>
            <w:r w:rsidRPr="00A54612">
              <w:rPr>
                <w:rFonts w:eastAsia="Calibri"/>
                <w:b/>
                <w:bCs/>
                <w:sz w:val="20"/>
                <w:szCs w:val="20"/>
                <w:lang w:val="en-US"/>
              </w:rPr>
              <w:t>(“+Qmax” injected to the CP)</w:t>
            </w:r>
          </w:p>
        </w:tc>
      </w:tr>
      <w:tr w:rsidR="00A54612" w:rsidRPr="00A54612" w14:paraId="378F72A8" w14:textId="77777777" w:rsidTr="00172AED">
        <w:trPr>
          <w:jc w:val="center"/>
        </w:trPr>
        <w:tc>
          <w:tcPr>
            <w:tcW w:w="0" w:type="auto"/>
            <w:vAlign w:val="center"/>
          </w:tcPr>
          <w:p w14:paraId="0E6CCC88" w14:textId="77777777" w:rsidR="00A54612" w:rsidRPr="00A54612" w:rsidRDefault="00A54612" w:rsidP="00A54612">
            <w:pPr>
              <w:tabs>
                <w:tab w:val="clear" w:pos="1189"/>
              </w:tabs>
              <w:spacing w:after="0" w:line="240" w:lineRule="auto"/>
              <w:ind w:right="0"/>
              <w:jc w:val="center"/>
              <w:rPr>
                <w:rFonts w:eastAsia="Calibri"/>
                <w:strike/>
                <w:sz w:val="20"/>
                <w:szCs w:val="20"/>
                <w:lang w:val="en-US"/>
              </w:rPr>
            </w:pPr>
            <w:r w:rsidRPr="00A54612">
              <w:rPr>
                <w:rFonts w:eastAsia="Calibri"/>
                <w:sz w:val="20"/>
                <w:szCs w:val="20"/>
                <w:lang w:val="en-US"/>
              </w:rPr>
              <w:t>(%) Pmax</w:t>
            </w:r>
          </w:p>
        </w:tc>
        <w:tc>
          <w:tcPr>
            <w:tcW w:w="0" w:type="auto"/>
            <w:vAlign w:val="center"/>
          </w:tcPr>
          <w:p w14:paraId="7EEF25F0" w14:textId="77777777" w:rsidR="00A54612" w:rsidRPr="00A54612" w:rsidRDefault="00A54612" w:rsidP="00A54612">
            <w:pPr>
              <w:tabs>
                <w:tab w:val="clear" w:pos="1189"/>
              </w:tabs>
              <w:spacing w:after="0" w:line="240" w:lineRule="auto"/>
              <w:ind w:right="0"/>
              <w:jc w:val="center"/>
              <w:rPr>
                <w:rFonts w:eastAsia="Calibri"/>
                <w:strike/>
                <w:sz w:val="20"/>
                <w:szCs w:val="20"/>
                <w:lang w:val="en-US"/>
              </w:rPr>
            </w:pPr>
            <w:r w:rsidRPr="00A54612">
              <w:rPr>
                <w:rFonts w:eastAsia="Calibri"/>
                <w:sz w:val="20"/>
                <w:szCs w:val="20"/>
                <w:lang w:val="en-US"/>
              </w:rPr>
              <w:t>(%) Pmax</w:t>
            </w:r>
          </w:p>
        </w:tc>
      </w:tr>
      <w:tr w:rsidR="00A54612" w:rsidRPr="00A54612" w14:paraId="73CB5154" w14:textId="77777777" w:rsidTr="00172AED">
        <w:trPr>
          <w:jc w:val="center"/>
        </w:trPr>
        <w:tc>
          <w:tcPr>
            <w:tcW w:w="0" w:type="auto"/>
            <w:vAlign w:val="center"/>
          </w:tcPr>
          <w:p w14:paraId="152E6449" w14:textId="77777777" w:rsidR="00A54612" w:rsidRPr="00A54612" w:rsidRDefault="00A54612" w:rsidP="00A54612">
            <w:pPr>
              <w:tabs>
                <w:tab w:val="clear" w:pos="1189"/>
              </w:tabs>
              <w:spacing w:after="0" w:line="240" w:lineRule="auto"/>
              <w:ind w:right="0"/>
              <w:jc w:val="center"/>
              <w:rPr>
                <w:rFonts w:eastAsia="Calibri"/>
                <w:strike/>
                <w:sz w:val="20"/>
                <w:szCs w:val="20"/>
                <w:lang w:val="en-US"/>
              </w:rPr>
            </w:pPr>
            <w:r w:rsidRPr="00A54612">
              <w:rPr>
                <w:rFonts w:eastAsia="Calibri"/>
                <w:sz w:val="20"/>
                <w:szCs w:val="20"/>
                <w:lang w:val="en-US"/>
              </w:rPr>
              <w:t>-35%</w:t>
            </w:r>
          </w:p>
        </w:tc>
        <w:tc>
          <w:tcPr>
            <w:tcW w:w="0" w:type="auto"/>
          </w:tcPr>
          <w:p w14:paraId="2FCA0269" w14:textId="77777777" w:rsidR="00A54612" w:rsidRPr="00A54612" w:rsidRDefault="00A54612" w:rsidP="00A54612">
            <w:pPr>
              <w:tabs>
                <w:tab w:val="clear" w:pos="1189"/>
              </w:tabs>
              <w:spacing w:after="0" w:line="240" w:lineRule="auto"/>
              <w:ind w:right="0"/>
              <w:jc w:val="center"/>
              <w:rPr>
                <w:rFonts w:eastAsia="Calibri"/>
                <w:strike/>
                <w:sz w:val="20"/>
                <w:szCs w:val="20"/>
                <w:lang w:val="en-US"/>
              </w:rPr>
            </w:pPr>
            <w:r w:rsidRPr="00A54612">
              <w:rPr>
                <w:rFonts w:eastAsia="Calibri"/>
                <w:sz w:val="20"/>
                <w:szCs w:val="20"/>
                <w:lang w:val="en-US"/>
              </w:rPr>
              <w:t>+20%</w:t>
            </w:r>
          </w:p>
        </w:tc>
      </w:tr>
    </w:tbl>
    <w:p w14:paraId="59FC05E4"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347AD7C4" w14:textId="5B7ADD48"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With regard the ESM reactive power capability when operating below maximum capacity (P&lt;Pmax), the ESM shall be capable of providing reactive power at any operating point within and including the limits of the red marked P-Q/Pmax-profile defined in </w:t>
      </w:r>
      <w:r w:rsidRPr="00A54612">
        <w:rPr>
          <w:rFonts w:eastAsia="Calibri"/>
          <w:lang w:val="en-US"/>
        </w:rPr>
        <w:fldChar w:fldCharType="begin"/>
      </w:r>
      <w:r w:rsidRPr="00A54612">
        <w:rPr>
          <w:rFonts w:eastAsia="Calibri"/>
          <w:lang w:val="en-US"/>
        </w:rPr>
        <w:instrText xml:space="preserve"> REF _Ref127347009 \h  \* MERGEFORMAT </w:instrText>
      </w:r>
      <w:r w:rsidRPr="00A54612">
        <w:rPr>
          <w:rFonts w:eastAsia="Calibri"/>
          <w:lang w:val="en-US"/>
        </w:rPr>
      </w:r>
      <w:r w:rsidRPr="00A54612">
        <w:rPr>
          <w:rFonts w:eastAsia="Calibri"/>
          <w:lang w:val="en-US"/>
        </w:rPr>
        <w:fldChar w:fldCharType="separate"/>
      </w:r>
      <w:r w:rsidR="00464704" w:rsidRPr="00A54612">
        <w:rPr>
          <w:rFonts w:eastAsia="Calibri"/>
          <w:lang w:val="en-US"/>
        </w:rPr>
        <w:t xml:space="preserve">Figure </w:t>
      </w:r>
      <w:r w:rsidR="00464704" w:rsidRPr="00464704">
        <w:rPr>
          <w:rFonts w:eastAsia="Calibri"/>
          <w:lang w:val="en-US"/>
        </w:rPr>
        <w:t>3</w:t>
      </w:r>
      <w:r w:rsidRPr="00A54612">
        <w:rPr>
          <w:rFonts w:eastAsia="Calibri"/>
          <w:lang w:val="en-US"/>
        </w:rPr>
        <w:fldChar w:fldCharType="end"/>
      </w:r>
      <w:r w:rsidRPr="00A54612">
        <w:rPr>
          <w:rFonts w:eastAsia="Calibri"/>
          <w:lang w:val="en-US"/>
        </w:rPr>
        <w:t xml:space="preserve"> (for CP either at 150kV or 400kV) while respecting the U-Q/Pmax-profile set-up in Figure 11 and Figure 12 (for CP at 150 and 400kV respectively).</w:t>
      </w:r>
    </w:p>
    <w:p w14:paraId="67B44F2B"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The ESM shall be capable of moving to any operating point within its P-Q/Pmax profile in appropriate timescales to target values requested by IPTO.</w:t>
      </w:r>
    </w:p>
    <w:p w14:paraId="0B4E2414" w14:textId="77777777" w:rsidR="00A54612" w:rsidRPr="00A54612" w:rsidRDefault="00A54612" w:rsidP="00A54612">
      <w:pPr>
        <w:widowControl/>
        <w:tabs>
          <w:tab w:val="clear" w:pos="1189"/>
        </w:tabs>
        <w:autoSpaceDE/>
        <w:autoSpaceDN/>
        <w:spacing w:after="120" w:line="240" w:lineRule="auto"/>
        <w:ind w:right="0"/>
        <w:jc w:val="center"/>
        <w:rPr>
          <w:rFonts w:eastAsia="Calibri"/>
          <w:lang w:val="en-US"/>
        </w:rPr>
      </w:pPr>
      <w:r w:rsidRPr="00A54612">
        <w:rPr>
          <w:rFonts w:eastAsia="Calibri"/>
          <w:noProof/>
          <w:lang w:val="en-US"/>
        </w:rPr>
        <w:lastRenderedPageBreak/>
        <w:drawing>
          <wp:inline distT="0" distB="0" distL="0" distR="0" wp14:anchorId="25980C0B" wp14:editId="5512B8B1">
            <wp:extent cx="4603115" cy="4566285"/>
            <wp:effectExtent l="0" t="0" r="6985" b="5715"/>
            <wp:docPr id="15" name="Picture 15" descr="Εικόνα που περιέχει κείμενο, διάγραμμα, γραμμή, γράφ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Εικόνα που περιέχει κείμενο, διάγραμμα, γραμμή, γράφημα&#10;&#10;Περιγραφή που δημιουργήθηκε αυτόματα"/>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03115" cy="4566285"/>
                    </a:xfrm>
                    <a:prstGeom prst="rect">
                      <a:avLst/>
                    </a:prstGeom>
                    <a:noFill/>
                  </pic:spPr>
                </pic:pic>
              </a:graphicData>
            </a:graphic>
          </wp:inline>
        </w:drawing>
      </w:r>
      <w:r w:rsidRPr="00A54612">
        <w:rPr>
          <w:rFonts w:eastAsia="Calibri"/>
          <w:lang w:val="en-US"/>
        </w:rPr>
        <w:t xml:space="preserve"> </w:t>
      </w:r>
    </w:p>
    <w:p w14:paraId="4FCAC59E" w14:textId="0E263253" w:rsidR="00A54612" w:rsidRPr="00A54612" w:rsidRDefault="00A54612" w:rsidP="00A54612">
      <w:pPr>
        <w:widowControl/>
        <w:tabs>
          <w:tab w:val="clear" w:pos="1189"/>
        </w:tabs>
        <w:autoSpaceDE/>
        <w:autoSpaceDN/>
        <w:spacing w:after="120" w:line="240" w:lineRule="auto"/>
        <w:ind w:right="0"/>
        <w:jc w:val="center"/>
        <w:rPr>
          <w:rFonts w:eastAsia="Calibri"/>
          <w:b/>
          <w:bCs/>
          <w:i/>
          <w:iCs/>
          <w:sz w:val="20"/>
          <w:szCs w:val="20"/>
          <w:lang w:val="en"/>
        </w:rPr>
      </w:pPr>
      <w:bookmarkStart w:id="91" w:name="_Ref127347009"/>
      <w:r w:rsidRPr="00A54612">
        <w:rPr>
          <w:rFonts w:eastAsia="Calibri"/>
          <w:b/>
          <w:bCs/>
          <w:i/>
          <w:iCs/>
          <w:sz w:val="20"/>
          <w:szCs w:val="20"/>
          <w:lang w:val="en"/>
        </w:rPr>
        <w:t xml:space="preserve">Figure </w:t>
      </w:r>
      <w:r w:rsidRPr="00A54612">
        <w:rPr>
          <w:rFonts w:eastAsia="Calibri"/>
          <w:b/>
          <w:bCs/>
          <w:i/>
          <w:iCs/>
          <w:sz w:val="20"/>
          <w:szCs w:val="20"/>
          <w:lang w:val="en"/>
        </w:rPr>
        <w:fldChar w:fldCharType="begin"/>
      </w:r>
      <w:r w:rsidRPr="00A54612">
        <w:rPr>
          <w:rFonts w:eastAsia="Calibri"/>
          <w:b/>
          <w:bCs/>
          <w:i/>
          <w:iCs/>
          <w:sz w:val="20"/>
          <w:szCs w:val="20"/>
          <w:lang w:val="en"/>
        </w:rPr>
        <w:instrText xml:space="preserve"> SEQ Figure \* ARABIC </w:instrText>
      </w:r>
      <w:r w:rsidRPr="00A54612">
        <w:rPr>
          <w:rFonts w:eastAsia="Calibri"/>
          <w:b/>
          <w:bCs/>
          <w:i/>
          <w:iCs/>
          <w:sz w:val="20"/>
          <w:szCs w:val="20"/>
          <w:lang w:val="en"/>
        </w:rPr>
        <w:fldChar w:fldCharType="separate"/>
      </w:r>
      <w:r w:rsidR="00363717">
        <w:rPr>
          <w:rFonts w:eastAsia="Calibri"/>
          <w:b/>
          <w:bCs/>
          <w:i/>
          <w:iCs/>
          <w:noProof/>
          <w:sz w:val="20"/>
          <w:szCs w:val="20"/>
          <w:lang w:val="en"/>
        </w:rPr>
        <w:t>3</w:t>
      </w:r>
      <w:r w:rsidRPr="00A54612">
        <w:rPr>
          <w:rFonts w:eastAsia="Calibri"/>
          <w:b/>
          <w:bCs/>
          <w:i/>
          <w:iCs/>
          <w:sz w:val="20"/>
          <w:szCs w:val="20"/>
          <w:lang w:val="en"/>
        </w:rPr>
        <w:fldChar w:fldCharType="end"/>
      </w:r>
      <w:bookmarkEnd w:id="91"/>
      <w:r w:rsidRPr="00A54612">
        <w:rPr>
          <w:rFonts w:eastAsia="Calibri"/>
          <w:b/>
          <w:bCs/>
          <w:i/>
          <w:iCs/>
          <w:sz w:val="20"/>
          <w:szCs w:val="20"/>
          <w:lang w:val="en"/>
        </w:rPr>
        <w:t>: P-Q/Pmax-profile of ESMs connected at 150/</w:t>
      </w:r>
      <w:proofErr w:type="gramStart"/>
      <w:r w:rsidRPr="00A54612">
        <w:rPr>
          <w:rFonts w:eastAsia="Calibri"/>
          <w:b/>
          <w:bCs/>
          <w:i/>
          <w:iCs/>
          <w:sz w:val="20"/>
          <w:szCs w:val="20"/>
          <w:lang w:val="en"/>
        </w:rPr>
        <w:t>400kV</w:t>
      </w:r>
      <w:proofErr w:type="gramEnd"/>
    </w:p>
    <w:p w14:paraId="310C1AA3"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p>
    <w:p w14:paraId="3866A9B2"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The ESUs of the ESM shall have the capability of providing reactive power at their terminals at least ±80% of their maximum capacity even at zero active power generation or consumption. </w:t>
      </w:r>
    </w:p>
    <w:p w14:paraId="5588DA45"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p>
    <w:p w14:paraId="7E2A6347" w14:textId="4CA39900" w:rsidR="00A54612" w:rsidRPr="00A54612" w:rsidRDefault="00821073" w:rsidP="00A54612">
      <w:pPr>
        <w:keepNext/>
        <w:keepLines/>
        <w:widowControl/>
        <w:tabs>
          <w:tab w:val="clear" w:pos="1189"/>
        </w:tabs>
        <w:autoSpaceDE/>
        <w:autoSpaceDN/>
        <w:spacing w:before="240" w:after="240" w:line="240" w:lineRule="auto"/>
        <w:ind w:left="567" w:right="0" w:hanging="567"/>
        <w:jc w:val="left"/>
        <w:outlineLvl w:val="0"/>
        <w:rPr>
          <w:b/>
          <w:sz w:val="32"/>
          <w:szCs w:val="32"/>
          <w:lang w:val="en-US"/>
        </w:rPr>
      </w:pPr>
      <w:r w:rsidRPr="00821073">
        <w:rPr>
          <w:b/>
          <w:sz w:val="32"/>
          <w:szCs w:val="32"/>
          <w:lang w:val="en-US"/>
        </w:rPr>
        <w:t xml:space="preserve">6. </w:t>
      </w:r>
      <w:bookmarkStart w:id="92" w:name="_Toc137323495"/>
      <w:r w:rsidR="00A54612" w:rsidRPr="00A54612">
        <w:rPr>
          <w:b/>
          <w:sz w:val="32"/>
          <w:szCs w:val="32"/>
          <w:lang w:val="en-US"/>
        </w:rPr>
        <w:t>Reactive Power control for ESM</w:t>
      </w:r>
      <w:bookmarkEnd w:id="92"/>
    </w:p>
    <w:p w14:paraId="3B2F8F4F"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All ESMs connected to the HETS shall be capable of adjusting reactive power generation contributing to the voltage regulation at the CP. To achieve that, the ESM shall be equipped with voltage control systems capable of providing voltage/reactive power control by operating either under </w:t>
      </w:r>
      <w:bookmarkStart w:id="93" w:name="_Hlk131080975"/>
      <w:r w:rsidRPr="00A54612">
        <w:rPr>
          <w:rFonts w:eastAsia="Calibri"/>
          <w:lang w:val="en-US"/>
        </w:rPr>
        <w:t xml:space="preserve">voltage, reactive </w:t>
      </w:r>
      <w:proofErr w:type="gramStart"/>
      <w:r w:rsidRPr="00A54612">
        <w:rPr>
          <w:rFonts w:eastAsia="Calibri"/>
          <w:lang w:val="en-US"/>
        </w:rPr>
        <w:t>power</w:t>
      </w:r>
      <w:proofErr w:type="gramEnd"/>
      <w:r w:rsidRPr="00A54612">
        <w:rPr>
          <w:rFonts w:eastAsia="Calibri"/>
          <w:lang w:val="en-US"/>
        </w:rPr>
        <w:t xml:space="preserve"> or power factor control mode</w:t>
      </w:r>
      <w:bookmarkEnd w:id="93"/>
      <w:r w:rsidRPr="00A54612">
        <w:rPr>
          <w:rFonts w:eastAsia="Calibri"/>
          <w:lang w:val="en-US"/>
        </w:rPr>
        <w:t>.</w:t>
      </w:r>
    </w:p>
    <w:p w14:paraId="2A998E8F"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 xml:space="preserve">The ESM shall be capable of operating and automatically implementing voltage, reactive power or power factor set points at the CP in line with instructions issued remotely and in real time by IPTO’s National Dispatch Centre (NDC). To achieve that, the ESM must be capable of exchanging signals and information in real time with the NDC. </w:t>
      </w:r>
    </w:p>
    <w:p w14:paraId="5FFEDB04"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If specified by IPTO an ESM connected at HETS shall be capable of contributing positively to the damping of low frequency power oscillations. The voltage/reactive power control characteristics of ESMs must not adversely affect the damping of power oscillations.</w:t>
      </w:r>
    </w:p>
    <w:p w14:paraId="4F2504D7" w14:textId="77777777" w:rsidR="00A54612" w:rsidRPr="00A54612" w:rsidRDefault="00A54612" w:rsidP="00A54612">
      <w:pPr>
        <w:widowControl/>
        <w:tabs>
          <w:tab w:val="clear" w:pos="1189"/>
        </w:tabs>
        <w:autoSpaceDE/>
        <w:autoSpaceDN/>
        <w:spacing w:after="120" w:line="240" w:lineRule="auto"/>
        <w:ind w:right="0"/>
        <w:jc w:val="left"/>
        <w:rPr>
          <w:rFonts w:eastAsia="Calibri"/>
          <w:lang w:val="en-US"/>
        </w:rPr>
      </w:pPr>
    </w:p>
    <w:p w14:paraId="5A378485" w14:textId="4100D076" w:rsidR="00A54612" w:rsidRPr="00A54612" w:rsidRDefault="00821073" w:rsidP="00A54612">
      <w:pPr>
        <w:keepNext/>
        <w:keepLines/>
        <w:widowControl/>
        <w:tabs>
          <w:tab w:val="clear" w:pos="1189"/>
        </w:tabs>
        <w:autoSpaceDE/>
        <w:autoSpaceDN/>
        <w:spacing w:before="240" w:after="240" w:line="240" w:lineRule="auto"/>
        <w:ind w:left="567" w:right="0" w:hanging="567"/>
        <w:jc w:val="left"/>
        <w:outlineLvl w:val="0"/>
        <w:rPr>
          <w:b/>
          <w:sz w:val="32"/>
          <w:szCs w:val="32"/>
          <w:lang w:val="en-US"/>
        </w:rPr>
      </w:pPr>
      <w:bookmarkStart w:id="94" w:name="_Ref127291685"/>
      <w:r w:rsidRPr="00821073">
        <w:rPr>
          <w:b/>
          <w:sz w:val="32"/>
          <w:szCs w:val="32"/>
          <w:lang w:val="en-US"/>
        </w:rPr>
        <w:lastRenderedPageBreak/>
        <w:t xml:space="preserve">7. </w:t>
      </w:r>
      <w:bookmarkStart w:id="95" w:name="_Toc137323496"/>
      <w:r w:rsidR="00A54612" w:rsidRPr="00A54612">
        <w:rPr>
          <w:b/>
          <w:sz w:val="32"/>
          <w:szCs w:val="32"/>
          <w:lang w:val="en-US"/>
        </w:rPr>
        <w:t>Simulation Models</w:t>
      </w:r>
      <w:bookmarkEnd w:id="95"/>
      <w:r w:rsidR="00A54612" w:rsidRPr="00A54612">
        <w:rPr>
          <w:b/>
          <w:sz w:val="32"/>
          <w:szCs w:val="32"/>
          <w:lang w:val="en-US"/>
        </w:rPr>
        <w:t xml:space="preserve"> </w:t>
      </w:r>
    </w:p>
    <w:p w14:paraId="1EE3C90C"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proofErr w:type="gramStart"/>
      <w:r w:rsidRPr="00A54612">
        <w:rPr>
          <w:rFonts w:eastAsia="Calibri"/>
          <w:lang w:val="en-US"/>
        </w:rPr>
        <w:t>For the purpose of</w:t>
      </w:r>
      <w:proofErr w:type="gramEnd"/>
      <w:r w:rsidRPr="00A54612">
        <w:rPr>
          <w:rFonts w:eastAsia="Calibri"/>
          <w:lang w:val="en-US"/>
        </w:rPr>
        <w:t xml:space="preserve"> performing static and dynamic simulations the ESM owner is responsible for providing IPTO with an RMS model for the connecting electricity storage facility. The ESM model should be based on an Electricity Storage Unit (ESU) model that is validated against measured laboratory test results, as further analyzed below.</w:t>
      </w:r>
    </w:p>
    <w:p w14:paraId="23A485F6" w14:textId="77777777" w:rsidR="00A54612" w:rsidRPr="00A54612" w:rsidRDefault="00A54612" w:rsidP="00A54612">
      <w:pPr>
        <w:widowControl/>
        <w:tabs>
          <w:tab w:val="clear" w:pos="1189"/>
        </w:tabs>
        <w:autoSpaceDE/>
        <w:autoSpaceDN/>
        <w:spacing w:after="120" w:line="240" w:lineRule="auto"/>
        <w:ind w:right="0"/>
        <w:rPr>
          <w:rFonts w:eastAsia="Calibri"/>
          <w:lang w:val="en-US"/>
        </w:rPr>
      </w:pPr>
      <w:r w:rsidRPr="00A54612">
        <w:rPr>
          <w:rFonts w:eastAsia="Calibri"/>
          <w:lang w:val="en-US"/>
        </w:rPr>
        <w:t>The ESU model must be compatible with the software packages used by IPTO</w:t>
      </w:r>
      <w:r w:rsidRPr="00A54612">
        <w:rPr>
          <w:rFonts w:eastAsia="Calibri"/>
          <w:vertAlign w:val="superscript"/>
          <w:lang w:val="en-US"/>
        </w:rPr>
        <w:footnoteReference w:id="12"/>
      </w:r>
      <w:r w:rsidRPr="00A54612">
        <w:rPr>
          <w:rFonts w:eastAsia="Calibri"/>
          <w:lang w:val="en-US"/>
        </w:rPr>
        <w:t xml:space="preserve"> and have no dependencies on additional external commercial or compiler software.</w:t>
      </w:r>
      <w:bookmarkEnd w:id="94"/>
    </w:p>
    <w:p w14:paraId="2FAAF688" w14:textId="77777777" w:rsidR="001949FB" w:rsidRPr="003212AB" w:rsidRDefault="001949FB" w:rsidP="00E76414">
      <w:pPr>
        <w:rPr>
          <w:lang w:val="en-US"/>
        </w:rPr>
      </w:pPr>
    </w:p>
    <w:p w14:paraId="0FC4859A" w14:textId="77777777" w:rsidR="001949FB" w:rsidRPr="003212AB" w:rsidRDefault="001949FB" w:rsidP="00E76414">
      <w:pPr>
        <w:rPr>
          <w:lang w:val="en-US"/>
        </w:rPr>
      </w:pPr>
    </w:p>
    <w:p w14:paraId="7A76E9A4" w14:textId="77777777" w:rsidR="001949FB" w:rsidRPr="003212AB" w:rsidRDefault="001949FB" w:rsidP="00E76414">
      <w:pPr>
        <w:rPr>
          <w:lang w:val="en-US"/>
        </w:rPr>
      </w:pPr>
    </w:p>
    <w:p w14:paraId="41379217" w14:textId="77777777" w:rsidR="004055AE" w:rsidRPr="003212AB" w:rsidRDefault="004055AE" w:rsidP="004055AE">
      <w:pPr>
        <w:rPr>
          <w:lang w:val="en-US"/>
        </w:rPr>
      </w:pPr>
    </w:p>
    <w:p w14:paraId="707DA0EF" w14:textId="77777777" w:rsidR="00123882" w:rsidRPr="003212AB" w:rsidRDefault="00123882" w:rsidP="00E76414">
      <w:pPr>
        <w:rPr>
          <w:lang w:val="en-US"/>
        </w:rPr>
      </w:pPr>
    </w:p>
    <w:p w14:paraId="36FD81F0" w14:textId="77777777" w:rsidR="001949FB" w:rsidRPr="003212AB" w:rsidRDefault="001949FB" w:rsidP="006C296B">
      <w:pPr>
        <w:rPr>
          <w:lang w:val="en-US"/>
        </w:rPr>
      </w:pPr>
    </w:p>
    <w:p w14:paraId="4C96110E" w14:textId="77777777" w:rsidR="006C296B" w:rsidRPr="003212AB" w:rsidRDefault="006C296B" w:rsidP="006C296B">
      <w:pPr>
        <w:rPr>
          <w:lang w:val="en-US"/>
        </w:rPr>
      </w:pPr>
    </w:p>
    <w:p w14:paraId="42973C85" w14:textId="77777777" w:rsidR="006C296B" w:rsidRPr="003212AB" w:rsidRDefault="006C296B" w:rsidP="006C296B">
      <w:pPr>
        <w:rPr>
          <w:lang w:val="en-US"/>
        </w:rPr>
      </w:pPr>
    </w:p>
    <w:p w14:paraId="084DED5A" w14:textId="77777777" w:rsidR="006C296B" w:rsidRPr="003212AB" w:rsidRDefault="006C296B" w:rsidP="006C296B">
      <w:pPr>
        <w:rPr>
          <w:lang w:val="en-US"/>
        </w:rPr>
      </w:pPr>
    </w:p>
    <w:p w14:paraId="5E583449" w14:textId="4CBC1148" w:rsidR="006C296B" w:rsidRPr="003212AB" w:rsidRDefault="006C296B" w:rsidP="006C296B">
      <w:pPr>
        <w:rPr>
          <w:lang w:val="en-US"/>
        </w:rPr>
        <w:sectPr w:rsidR="006C296B" w:rsidRPr="003212AB" w:rsidSect="003212AB">
          <w:headerReference w:type="default" r:id="rId55"/>
          <w:footerReference w:type="default" r:id="rId56"/>
          <w:pgSz w:w="11906" w:h="16838" w:code="9"/>
          <w:pgMar w:top="720" w:right="720" w:bottom="720" w:left="720" w:header="677" w:footer="0" w:gutter="0"/>
          <w:cols w:space="720"/>
          <w:docGrid w:linePitch="299"/>
        </w:sectPr>
      </w:pPr>
    </w:p>
    <w:p w14:paraId="5DD6BA10" w14:textId="77777777" w:rsidR="00C23138" w:rsidRPr="003212AB" w:rsidRDefault="00C23138" w:rsidP="00EB6166">
      <w:pPr>
        <w:pStyle w:val="20"/>
        <w:rPr>
          <w:lang w:val="en-US"/>
        </w:rPr>
      </w:pPr>
    </w:p>
    <w:p w14:paraId="2F18F826" w14:textId="679663CA" w:rsidR="00C23138" w:rsidRPr="00717B8C" w:rsidRDefault="00C23138" w:rsidP="00717B8C">
      <w:pPr>
        <w:jc w:val="center"/>
        <w:rPr>
          <w:b/>
          <w:bCs/>
        </w:rPr>
      </w:pPr>
      <w:r w:rsidRPr="00717B8C">
        <w:rPr>
          <w:b/>
          <w:bCs/>
        </w:rPr>
        <w:t>ΠΑΡΑΡΤΗΜΑ Θ</w:t>
      </w:r>
    </w:p>
    <w:p w14:paraId="1BE89ED6" w14:textId="1469A6F3" w:rsidR="00C23138" w:rsidRPr="00717B8C" w:rsidRDefault="00C23138" w:rsidP="00717B8C">
      <w:pPr>
        <w:jc w:val="center"/>
        <w:rPr>
          <w:b/>
          <w:bCs/>
        </w:rPr>
      </w:pPr>
      <w:r w:rsidRPr="00717B8C">
        <w:rPr>
          <w:b/>
          <w:bCs/>
        </w:rPr>
        <w:t>ΥΠΟΔΕΙΓΜΑΤΑ ΥΠΕΥΘΥΝΩΝ ΔΗΛΩΣΕΩΝ ΤΗΡΗΣΗΣ ΥΠΟΧΡΕΩΣΕΩΝ ΚΑΙ ΤΕΧΝΙΚΩΝ ΑΠΑΙΤΗΣΕΩΝ</w:t>
      </w:r>
    </w:p>
    <w:p w14:paraId="55CB1C64" w14:textId="77777777" w:rsidR="00C23138" w:rsidRDefault="00C23138" w:rsidP="00EB6166">
      <w:pPr>
        <w:pStyle w:val="20"/>
      </w:pPr>
    </w:p>
    <w:p w14:paraId="12DAB2D2" w14:textId="552EA945" w:rsidR="00C23138" w:rsidRDefault="00AD2DB3" w:rsidP="00EB6166">
      <w:pPr>
        <w:pStyle w:val="20"/>
      </w:pPr>
      <w:bookmarkStart w:id="96" w:name="_Hlk137539276"/>
      <w:r>
        <w:t xml:space="preserve">Ι. </w:t>
      </w:r>
      <w:r w:rsidR="00C23138" w:rsidRPr="004E7B57">
        <w:t>Υπόδειγμα Υπεύθυνης</w:t>
      </w:r>
      <w:r w:rsidR="00C23138">
        <w:t xml:space="preserve"> </w:t>
      </w:r>
      <w:r w:rsidR="00C95C69">
        <w:t xml:space="preserve">Δήλωσης </w:t>
      </w:r>
      <w:r w:rsidR="00C23138">
        <w:t>Τήρησης Υποχρεώσεων</w:t>
      </w:r>
    </w:p>
    <w:p w14:paraId="42B970DF" w14:textId="77777777" w:rsidR="00C23138" w:rsidRDefault="00C23138" w:rsidP="00C23138"/>
    <w:p w14:paraId="1A44C3C2" w14:textId="77777777" w:rsidR="00C23138" w:rsidRPr="004E7B57" w:rsidRDefault="00C23138" w:rsidP="00C23138">
      <w:r w:rsidRPr="004E7B57">
        <w:t>(άρθρο 8 Ν.1599/1986)</w:t>
      </w:r>
    </w:p>
    <w:p w14:paraId="5B16B022" w14:textId="77777777" w:rsidR="00C23138" w:rsidRPr="004E7B57" w:rsidRDefault="00C23138" w:rsidP="00C23138">
      <w:pPr>
        <w:pStyle w:val="a3"/>
      </w:pPr>
    </w:p>
    <w:p w14:paraId="106FED35" w14:textId="77777777" w:rsidR="00C23138" w:rsidRPr="004E7B57" w:rsidRDefault="00C23138" w:rsidP="00C23138">
      <w:r w:rsidRPr="004E7B57">
        <w:t>Με ατομική μου ευθύνη και γνωρίζοντας τις κυρώσεις, που προβλέπονται από τις διατάξεις της παρ. 6 του άρθρου 22 του ν. 1599/1986, δηλώνω ότι:</w:t>
      </w:r>
    </w:p>
    <w:p w14:paraId="6F00E52C" w14:textId="4DAB611D" w:rsidR="00C23138" w:rsidRPr="004E7B57" w:rsidRDefault="00C23138" w:rsidP="00C23138">
      <w:r w:rsidRPr="004E7B57">
        <w:t>Ο/Η</w:t>
      </w:r>
      <w:r w:rsidRPr="004E7B57">
        <w:tab/>
        <w:t>υπογράφων/ουσα την</w:t>
      </w:r>
      <w:r w:rsidRPr="004E7B57">
        <w:tab/>
        <w:t>παρούσα ………………………….…………………………..</w:t>
      </w:r>
      <w:r w:rsidRPr="004E7B57">
        <w:tab/>
        <w:t>κάτοικος……………………………………………………………………….</w:t>
      </w:r>
    </w:p>
    <w:p w14:paraId="1064CDB0" w14:textId="001CFC4D" w:rsidR="00C23138" w:rsidRPr="004E7B57" w:rsidRDefault="00C23138" w:rsidP="00C23138">
      <w:r w:rsidRPr="004E7B57">
        <w:t>…………….. (οδός/αριθ)…………………………………….., κάτοχος του Δελτίου Αστυνομικής Ταυτότητας με τον αριθμό   ……………………………, που εκδόθηκε από………………………………………….. στις ………………………, νόμιμος εκπρόσωπος της ανώνυμης εταιρείας (A.E.) / της εταιρείας περιορισμένης ευθύνης (E.Π.Ε.)/ της ομόρρυθμης εταιρείας (O.E.) / της ετερόρρυθμης εταιρείας (E.E.) / της ιδιωτικής κεφαλαιουχικής εταιρείας (I.K.E.) / του νομικού προσώπου δημοσίου / ιδιωτικού δικαίου (Ν.Π.Δ.Δ. / Ν.Π.Ι.Δ.) / του συνεταιρισμού/ της Ενεργειακής Κοινότητας/ Κοινότητα Ανανεώσιμης Ενέργειας/ Ενεργειακή Κοινότητα Πολιτών  με την επωνυμία……………………………και το διακριτικό τίτλο………………………..</w:t>
      </w:r>
      <w:r w:rsidRPr="004E7B57">
        <w:tab/>
        <w:t xml:space="preserve">(Αρ. Γ.Ε.ΜΗ .......................) δυνάμει της από…………………………….απόφασης του Διοικητικού Συμβουλίου (ή του/ων Διαχειριστού/ων αυτής), Συμμετέχουσας/οντος στην </w:t>
      </w:r>
      <w:r w:rsidR="002119BD" w:rsidRPr="002119BD">
        <w:rPr>
          <w:b/>
          <w:bCs/>
        </w:rPr>
        <w:t>Α</w:t>
      </w:r>
      <w:r w:rsidR="002119BD">
        <w:rPr>
          <w:b/>
          <w:bCs/>
        </w:rPr>
        <w:t>’</w:t>
      </w:r>
      <w:r w:rsidRPr="002119BD">
        <w:rPr>
          <w:b/>
          <w:bCs/>
        </w:rPr>
        <w:t xml:space="preserve"> Ανταγωνιστική Διαδικασία υποβολής προσφορών </w:t>
      </w:r>
      <w:r w:rsidR="002119BD" w:rsidRPr="002119BD">
        <w:rPr>
          <w:b/>
          <w:bCs/>
        </w:rPr>
        <w:t>για τη χορήγηση επενδυτικής και λειτουργικής ενίσχυσης</w:t>
      </w:r>
      <w:r w:rsidR="002119BD">
        <w:rPr>
          <w:b/>
          <w:bCs/>
        </w:rPr>
        <w:t xml:space="preserve"> σε σταθμούς αποθήκευσης ηλεκτρικής ενέργειας (Σ.Α.Η.Ε.) </w:t>
      </w:r>
      <w:r w:rsidR="002119BD">
        <w:t xml:space="preserve">σύμφωνα με την </w:t>
      </w:r>
      <w:r w:rsidR="002119BD" w:rsidRPr="004E7B57">
        <w:t xml:space="preserve">υπ’ αριθ. …………. 2023 </w:t>
      </w:r>
      <w:r w:rsidR="002119BD">
        <w:t xml:space="preserve">Προκήρυξη της Ρ.Α.Α.Ε.Υ. (εφεξής «Προκήρυξη») </w:t>
      </w:r>
      <w:r w:rsidRPr="004E7B57">
        <w:t>για τη χορήγηση επενδυτικής και λειτουργικής ενίσχυσης σε σταθμούς αποθήκευσης ηλεκτρικής ενέργειας, σύμφωνα με την παρ. 4 του άρθρου 143στ του ν. 4001/2011 (Α’ 179)</w:t>
      </w:r>
      <w:r w:rsidR="002119BD">
        <w:t xml:space="preserve"> και την υπ’ αριθμ. ΥΠΕΝ/ΔΗΕ/55948/1087 Υπουργική Απόφαση (ΦΕΚ Β’ 3416) (εφεξής «Υπουργική Απόφαση), </w:t>
      </w:r>
      <w:r w:rsidRPr="004E7B57">
        <w:t>δηλώνω, σύμφωνα με το άρθρο 8 του ν. 1599/1986 (Α’ 75), έχοντας πλήρη γνώση των συνεπειών της δήλωσής μου αυτής, όπως οι συνέπειες αυτές ορίζονται στις γενικές περί υπευθύνων δηλώσεων διατάξεις, και γνωρίζοντας τις κυρώσεις, που προβλέπονται από τις διατάξεις της παρ. 6 του άρθρου 22 του ν. 1599/1986, τα ακόλουθα:</w:t>
      </w:r>
    </w:p>
    <w:p w14:paraId="0633806E" w14:textId="77777777" w:rsidR="00C23138" w:rsidRPr="004E7B57" w:rsidRDefault="00C23138" w:rsidP="00C23138">
      <w:pPr>
        <w:pStyle w:val="a4"/>
        <w:ind w:left="284"/>
      </w:pPr>
    </w:p>
    <w:p w14:paraId="00D2A4E0" w14:textId="06FE84AE" w:rsidR="00C23138" w:rsidRDefault="00C23138" w:rsidP="00F03935">
      <w:r w:rsidRPr="004E7B57">
        <w:t xml:space="preserve">Σε περίπτωση που αναδειχθώ/ αναδειχθεί το νομικό πρόσωπο που εκπροσωπώ </w:t>
      </w:r>
      <w:r w:rsidR="00DC09EF">
        <w:t xml:space="preserve">ως </w:t>
      </w:r>
      <w:r w:rsidRPr="004E7B57">
        <w:t>Επιλεγείς Συμμετέχων δηλώνω ότι</w:t>
      </w:r>
      <w:r w:rsidR="00F03935" w:rsidRPr="00F03935">
        <w:t xml:space="preserve"> θα </w:t>
      </w:r>
      <w:r w:rsidR="00F03935">
        <w:t>τηρώ τις υποχρεώσεις</w:t>
      </w:r>
      <w:r w:rsidR="00F03935" w:rsidRPr="00F03935">
        <w:t xml:space="preserve"> που προβλέπονται </w:t>
      </w:r>
      <w:r w:rsidR="00F03935">
        <w:t>στα άρθρα 10 και 15</w:t>
      </w:r>
      <w:r w:rsidR="00F03935" w:rsidRPr="00F03935">
        <w:t xml:space="preserve"> της Υπουργικής Απόφασης, στο άρθρο 15 </w:t>
      </w:r>
      <w:r w:rsidR="00023D6D" w:rsidRPr="00F03935">
        <w:t xml:space="preserve">και στο Παράρτημα Η </w:t>
      </w:r>
      <w:r w:rsidR="00F03935" w:rsidRPr="00F03935">
        <w:t>της Προκήρυξης και συγκεκριμένα</w:t>
      </w:r>
      <w:r w:rsidRPr="004E7B57">
        <w:t>:</w:t>
      </w:r>
    </w:p>
    <w:p w14:paraId="2C0BDF99" w14:textId="6766016F" w:rsidR="00C23138" w:rsidRDefault="00C23138" w:rsidP="00E67595">
      <w:pPr>
        <w:pStyle w:val="a4"/>
        <w:numPr>
          <w:ilvl w:val="0"/>
          <w:numId w:val="14"/>
        </w:numPr>
      </w:pPr>
      <w:r>
        <w:t>Η</w:t>
      </w:r>
      <w:r w:rsidRPr="00C622C7">
        <w:t xml:space="preserve"> </w:t>
      </w:r>
      <w:r w:rsidRPr="004E7B57">
        <w:t xml:space="preserve">κατασκευή </w:t>
      </w:r>
      <w:r>
        <w:t>του</w:t>
      </w:r>
      <w:r w:rsidRPr="004E7B57">
        <w:t xml:space="preserve"> Σ.Α.Η.Ε. </w:t>
      </w:r>
      <w:r>
        <w:t xml:space="preserve">θα ολοκληρωθεί </w:t>
      </w:r>
      <w:r w:rsidRPr="004E7B57">
        <w:t xml:space="preserve">και </w:t>
      </w:r>
      <w:r>
        <w:t>θα τεθεί</w:t>
      </w:r>
      <w:r w:rsidRPr="004E7B57">
        <w:t xml:space="preserve"> σε λειτουργία το αργότερο έως και την 31.12.2025. </w:t>
      </w:r>
      <w:r w:rsidR="0047041D">
        <w:t xml:space="preserve">Θα υποβάλω </w:t>
      </w:r>
      <w:r w:rsidR="0047041D" w:rsidRPr="0047041D">
        <w:t>α</w:t>
      </w:r>
      <w:r w:rsidR="0047041D">
        <w:t xml:space="preserve">ίτηση </w:t>
      </w:r>
      <w:r w:rsidR="0047041D" w:rsidRPr="0047041D">
        <w:t>στον Διαχειριστή του Ε.Σ.Μ.Η.Ε. για την ενεργοποίηση της σύνδεσης, κατά την παρ. 2 του άρθρου 27 του ν. 4951/2022 (Α’ 129), έως και την 30ή Σεπτεμβρίου 2025.</w:t>
      </w:r>
      <w:r w:rsidR="0047041D">
        <w:t xml:space="preserve"> </w:t>
      </w:r>
      <w:r w:rsidRPr="004E7B57">
        <w:t xml:space="preserve">Για τον σκοπό αυτό </w:t>
      </w:r>
      <w:r>
        <w:t>θα υποβάλ</w:t>
      </w:r>
      <w:r w:rsidR="0047041D">
        <w:t xml:space="preserve">ω </w:t>
      </w:r>
      <w:r w:rsidRPr="004E7B57">
        <w:t xml:space="preserve">στη Ρ.Α.Α.Ε.Υ. τριμηνιαίες λεπτομερείς εκθέσεις προόδου υλοποίησης των Σ.Α.Η.Ε. </w:t>
      </w:r>
      <w:r w:rsidR="0047041D" w:rsidRPr="0047041D">
        <w:t xml:space="preserve">όπου περιγράφεται αναλυτικά η πρόοδος υλοποίησης των έργων (αδειοδότηση, σύναψη συμβάσεων, συμβολαιοποίηση κύριου εξοπλισμού, ανέγερση, σύνδεση στο δίκτυο, δοκιμαστική λειτουργία), καθ’ όλη τη διάρκεια από την ένταξή </w:t>
      </w:r>
      <w:r w:rsidR="0047041D">
        <w:t>του</w:t>
      </w:r>
      <w:r w:rsidR="0047041D" w:rsidRPr="0047041D">
        <w:t xml:space="preserve"> στο σχήμα ενίσχυσης μέχρι την έκδοση της άδειας λειτουργίας. Η πρώτη έκθεση προόδου </w:t>
      </w:r>
      <w:r w:rsidR="0047041D">
        <w:t xml:space="preserve">θα υποβληθεί </w:t>
      </w:r>
      <w:r w:rsidR="0047041D" w:rsidRPr="0047041D">
        <w:t>τρεις (3) μήνες από την έκδοση των αποτελεσμάτων της Ανταγωνιστικής Διαδικασίας.</w:t>
      </w:r>
    </w:p>
    <w:p w14:paraId="4645B430" w14:textId="745B48F4" w:rsidR="00C23138" w:rsidRDefault="006332FA" w:rsidP="00E67595">
      <w:pPr>
        <w:pStyle w:val="a4"/>
        <w:numPr>
          <w:ilvl w:val="0"/>
          <w:numId w:val="14"/>
        </w:numPr>
      </w:pPr>
      <w:r>
        <w:t xml:space="preserve">Θα συμβληθώ </w:t>
      </w:r>
      <w:r w:rsidR="00C23138" w:rsidRPr="004E7B57">
        <w:t xml:space="preserve">με φορείς που διαθέτουν την απαραίτητη επαγγελματική και τεχνική επάρκεια και </w:t>
      </w:r>
      <w:r w:rsidR="00C23138">
        <w:t>τις</w:t>
      </w:r>
      <w:r w:rsidR="00C23138" w:rsidRPr="004E7B57">
        <w:t xml:space="preserve"> κατά περίπτωση απαιτούμενες διαπιστεύσεις, οι οποίοι πρέπει να είναι εγγεγραμμένοι στο Μητρώο Φορέων Ελέγχου, Επιθεώρησης και Επαλήθευσης Σ.Α.Η.Ε., εφόσον αυτό έχει καταρτιστεί, και διενεργούν </w:t>
      </w:r>
      <w:r w:rsidR="00C23138">
        <w:t>τις</w:t>
      </w:r>
      <w:r w:rsidR="00C23138" w:rsidRPr="004E7B57">
        <w:t xml:space="preserve"> προβλεπόμενες κατά περίπτωση δοκιμές και ελέγχους, πιστοποιούν τα αποτελέσματά </w:t>
      </w:r>
      <w:r w:rsidR="00C23138">
        <w:t>τις</w:t>
      </w:r>
      <w:r w:rsidR="00C23138" w:rsidRPr="004E7B57">
        <w:t xml:space="preserve"> και υποβάλλουν στη Ρ.Α.Α.Ε.Υ., στον Διαχειριστή του Ε.Σ.Μ.Η.Ε. και στον Διαχειριστή Α.Π.Ε. και Εγγυήσεων Προέλευσης </w:t>
      </w:r>
      <w:r w:rsidR="00C23138">
        <w:t>τις</w:t>
      </w:r>
      <w:r w:rsidR="00C23138" w:rsidRPr="004E7B57">
        <w:t xml:space="preserve"> σχετικές τεχνικές εκθέσεις και πιστοποιήσεις.</w:t>
      </w:r>
    </w:p>
    <w:p w14:paraId="7B1E6036" w14:textId="69636464" w:rsidR="00C23138" w:rsidRDefault="00C23138" w:rsidP="00E67595">
      <w:pPr>
        <w:pStyle w:val="a4"/>
        <w:numPr>
          <w:ilvl w:val="0"/>
          <w:numId w:val="14"/>
        </w:numPr>
      </w:pPr>
      <w:r w:rsidRPr="004E7B57">
        <w:lastRenderedPageBreak/>
        <w:t>Κατά το στάδιο της δοκιμαστικής λειτουργίας των έργων</w:t>
      </w:r>
      <w:r>
        <w:t xml:space="preserve"> </w:t>
      </w:r>
      <w:r w:rsidR="002119BD">
        <w:t>θα</w:t>
      </w:r>
      <w:r>
        <w:t xml:space="preserve"> διεξάγονται </w:t>
      </w:r>
      <w:r w:rsidRPr="004E7B57">
        <w:t xml:space="preserve">δοκιμές και </w:t>
      </w:r>
      <w:r>
        <w:t>έλεγχοι</w:t>
      </w:r>
      <w:r w:rsidRPr="004E7B57">
        <w:t xml:space="preserve"> που πιστοποιούν την τήρηση των τεχνικών απαιτήσεων </w:t>
      </w:r>
      <w:r w:rsidR="008350FE">
        <w:t xml:space="preserve">του Παραρτήματος Η, αναφορικά με τη σύνδεση σταθμών αποθήκευσης με το </w:t>
      </w:r>
      <w:r w:rsidRPr="004E7B57">
        <w:t xml:space="preserve">Ε.Σ.Μ.Η.Ε. </w:t>
      </w:r>
      <w:r w:rsidR="008350FE">
        <w:t xml:space="preserve">και να υποβάλουν στο Διαχειριστή του </w:t>
      </w:r>
      <w:r w:rsidR="008350FE" w:rsidRPr="004E7B57">
        <w:t xml:space="preserve">Ε.Σ.Μ.Η.Ε </w:t>
      </w:r>
      <w:r w:rsidRPr="004E7B57">
        <w:t xml:space="preserve">σχετικές αναφορές. </w:t>
      </w:r>
      <w:r>
        <w:t>Ο</w:t>
      </w:r>
      <w:r w:rsidRPr="004E7B57">
        <w:t xml:space="preserve"> </w:t>
      </w:r>
      <w:r w:rsidR="008350FE">
        <w:t xml:space="preserve">Διαχειριστής του </w:t>
      </w:r>
      <w:r w:rsidRPr="004E7B57">
        <w:t>Ε.Σ.Μ.Η.Ε.</w:t>
      </w:r>
      <w:r>
        <w:t xml:space="preserve"> θα ενημερώνεται εγκαίρως</w:t>
      </w:r>
      <w:r w:rsidRPr="004E7B57">
        <w:t xml:space="preserve"> για τη διεξαγωγή των σχετικών δοκιμών, προκειμένου αυτός να παρακολουθεί, εφόσον το κρίνει απαραίτητο, τις σχετικές δοκιμές, είτε επί τόπου, είτε εξ αποστάσεως, από το Κέντρο Ελέγχου Ενέργειας.</w:t>
      </w:r>
    </w:p>
    <w:p w14:paraId="575E0275" w14:textId="0F06AA3E" w:rsidR="00C23138" w:rsidRDefault="00C23138" w:rsidP="00E67595">
      <w:pPr>
        <w:pStyle w:val="a4"/>
        <w:numPr>
          <w:ilvl w:val="0"/>
          <w:numId w:val="14"/>
        </w:numPr>
      </w:pPr>
      <w:r>
        <w:t xml:space="preserve">Θα διενεργούνται </w:t>
      </w:r>
      <w:r w:rsidRPr="004E7B57">
        <w:t xml:space="preserve">δοκιμές και </w:t>
      </w:r>
      <w:r>
        <w:t>έλεγχοι</w:t>
      </w:r>
      <w:r w:rsidRPr="004E7B57">
        <w:t xml:space="preserve"> για την τήρηση των απαιτήσεων μέγιστης ισχύος έγχυσης, ελάχιστης χωρητικότητας, ελάχιστου βαθμού απόδοσης, ελάχιστης κατανάλωσης σε λειτουργία αναμονής, διαθεσιμότητας ισχύος και ασφάλειας εγκαταστάσεων των Ενισχυόμενων Σ.Α.Η.Ε. και </w:t>
      </w:r>
      <w:r>
        <w:t>θα προσκομίζονται</w:t>
      </w:r>
      <w:r w:rsidRPr="004E7B57">
        <w:t xml:space="preserve"> στη Ρ.Α.Α.Ε.Υ., στον Διαχειριστή του Ε.Σ.Μ.Η.Ε. και στον Διαχειριστή Α.Π.Ε. και Εγγυήσεων Προέλευσης σχετικές αναφορές και πιστοποιήσεις. Η τήρηση των ανωτέρω απαιτήσεων </w:t>
      </w:r>
      <w:r>
        <w:t xml:space="preserve">θα </w:t>
      </w:r>
      <w:r w:rsidRPr="004E7B57">
        <w:t xml:space="preserve">ελέγχεται κατά το στάδιο της δοκιμαστικής λειτουργίας και ανά διετία καθ’ όλη τη διάρκεια της Περιόδου Ενίσχυσης και οι σχετικοί έλεγχοι, δοκιμές, μελέτες και εκθέσεις διενεργούνται/συντάσσονται από φορείς της </w:t>
      </w:r>
      <w:r w:rsidR="002119BD">
        <w:t>του άρθρου 8 της Υπουργικής Απόφασης.</w:t>
      </w:r>
      <w:r w:rsidRPr="004E7B57">
        <w:t xml:space="preserve"> </w:t>
      </w:r>
      <w:r>
        <w:t>Ο</w:t>
      </w:r>
      <w:r w:rsidRPr="004E7B57">
        <w:t xml:space="preserve"> Διαχειριστή</w:t>
      </w:r>
      <w:r>
        <w:t>ς</w:t>
      </w:r>
      <w:r w:rsidRPr="004E7B57">
        <w:t xml:space="preserve"> του Ε.Σ.Μ.Η.Ε. και </w:t>
      </w:r>
      <w:r>
        <w:t>άλλοι</w:t>
      </w:r>
      <w:r w:rsidRPr="004E7B57">
        <w:t xml:space="preserve"> κατά περίπτωση </w:t>
      </w:r>
      <w:r>
        <w:t>αρμόδιοι</w:t>
      </w:r>
      <w:r w:rsidRPr="004E7B57">
        <w:t xml:space="preserve"> φορείς</w:t>
      </w:r>
      <w:r>
        <w:t xml:space="preserve"> θα ενημερώνονται εγκαίρως</w:t>
      </w:r>
      <w:r w:rsidRPr="004E7B57">
        <w:t xml:space="preserve"> για τη διεξαγωγή δοκιμών πεδίου, προκειμένου αυτοί να παρίστανται, μέσω εκπροσώπων τους, εφόσον οι εν λόγω φορείς το κρίνουν απαραίτητο ή είναι επιβεβλημένο.</w:t>
      </w:r>
    </w:p>
    <w:p w14:paraId="4C9132AC" w14:textId="03444FCD" w:rsidR="00C23138" w:rsidRDefault="002119BD" w:rsidP="00E67595">
      <w:pPr>
        <w:pStyle w:val="a4"/>
        <w:numPr>
          <w:ilvl w:val="0"/>
          <w:numId w:val="14"/>
        </w:numPr>
      </w:pPr>
      <w:r>
        <w:t>Θ</w:t>
      </w:r>
      <w:r w:rsidR="00C23138">
        <w:t>α υποβληθούν:</w:t>
      </w:r>
    </w:p>
    <w:p w14:paraId="4DC66D32" w14:textId="77777777" w:rsidR="005170B8" w:rsidRDefault="00C23138" w:rsidP="00E67595">
      <w:pPr>
        <w:pStyle w:val="a4"/>
        <w:numPr>
          <w:ilvl w:val="0"/>
          <w:numId w:val="17"/>
        </w:numPr>
        <w:tabs>
          <w:tab w:val="clear" w:pos="1189"/>
          <w:tab w:val="left" w:pos="1701"/>
        </w:tabs>
        <w:ind w:left="1701" w:hanging="512"/>
      </w:pPr>
      <w:r w:rsidRPr="004E7B57">
        <w:t xml:space="preserve">Στη Ρ.Α.Α.Ε.Υ., στον Διαχειριστή του Ε.Σ.Μ.Η.Ε. και στον Διαχειριστή Α.Π.Ε. και Εγγυήσεων Προέλευσης, εντός έξι (6) μηνών από την έκδοση των οριστικών αποτελεσμάτων της Ανταγωνιστικής Διαδικασίας, αποδεικτικό συνεργασίας με έναν ή περισσότερους φορείς, οι οποίοι διαθέτουν την επάρκεια και τις κατά περίπτωση απαιτούμενες διαπιστεύσεις προκειμένου να διενεργήσουν τους ελέγχους και τις δοκιμές και να εκπονήσουν τις μελέτες και τις εκθέσεις που απαιτούνται για την εκπλήρωση των </w:t>
      </w:r>
      <w:r w:rsidRPr="000D19AF">
        <w:t xml:space="preserve">προβλεπόμενων στην </w:t>
      </w:r>
      <w:r w:rsidR="005170B8" w:rsidRPr="000D19AF">
        <w:t>παρ. 15.2. (ιζ) της Προκήρυξης.</w:t>
      </w:r>
      <w:r w:rsidRPr="000D19AF">
        <w:t xml:space="preserve"> Η προσκόμιση το</w:t>
      </w:r>
      <w:r w:rsidRPr="004E7B57">
        <w:t>υ αποδεικτικού του προηγούμενου εδαφίου αποτελεί προϋπόθεση για τη σύναψη Σύμβασης Σύνδεσης με το Ε.Σ.Μ.Η.Ε..</w:t>
      </w:r>
    </w:p>
    <w:p w14:paraId="142862B8" w14:textId="77777777" w:rsidR="005170B8" w:rsidRDefault="00C23138" w:rsidP="00E67595">
      <w:pPr>
        <w:pStyle w:val="a4"/>
        <w:numPr>
          <w:ilvl w:val="0"/>
          <w:numId w:val="17"/>
        </w:numPr>
        <w:tabs>
          <w:tab w:val="clear" w:pos="1189"/>
          <w:tab w:val="left" w:pos="1701"/>
        </w:tabs>
        <w:ind w:left="1701" w:hanging="512"/>
      </w:pPr>
      <w:r w:rsidRPr="004E7B57">
        <w:t>Στη Ρ.Α.Α.Ε.Υ., στον Διαχειριστή Α.Π.Ε. και Εγγυήσεων Προέλευσης και στον φορέα έκδοσης της άδειας εγκατάστασης, ασφαλιστήριο συμβόλαιο για το στάδιο κατασκευής του, κατά την παρ. 7 του άρθρου 8 της Υπουργικής Απόφασης, συνοδευόμενο από έκθεση εκτίμησης κινδύνων κατά την κατασκευή και λειτουργία του (risk assessment and mitigation report), η οποία εκπονείται από φορέα της πα</w:t>
      </w:r>
      <w:r w:rsidR="005170B8">
        <w:t>ρ. 15.2. (ιε) της Προκήρυξης.</w:t>
      </w:r>
      <w:r w:rsidRPr="004E7B57">
        <w:t xml:space="preserve"> Η προσκόμιση του ασφαλιστηρίου και της συνοδευτικής έκθεσης του προηγούμενου εδαφίου αποτελεί προϋπόθεση για την έκδοση της άδειας εγκατάστασης του Σ.Α.Η.Ε..</w:t>
      </w:r>
    </w:p>
    <w:p w14:paraId="0684E5D2" w14:textId="0128C55E" w:rsidR="00C23138" w:rsidRDefault="00C23138" w:rsidP="00E67595">
      <w:pPr>
        <w:pStyle w:val="a4"/>
        <w:numPr>
          <w:ilvl w:val="0"/>
          <w:numId w:val="17"/>
        </w:numPr>
        <w:tabs>
          <w:tab w:val="clear" w:pos="1189"/>
          <w:tab w:val="left" w:pos="1701"/>
        </w:tabs>
        <w:ind w:left="1701" w:hanging="512"/>
      </w:pPr>
      <w:r w:rsidRPr="004E7B57">
        <w:t xml:space="preserve">Στη Ρ.Α.Α.Ε.Υ., στον Διαχειριστή Α.Π.Ε. και Εγγυήσεων Προέλευσης και στον φορέα έκδοσης της άδειας λειτουργίας του Σ.Α.Η.Ε., ασφαλιστήριο συμβόλαιο για ολόκληρη την περίοδο λειτουργίας του Σ.Α.Η.Ε. κατά την παρ. 7 του άρθρου 8 της Υπουργικής Απόφασης, συνοδευόμενο από έκθεση εκτίμησης κινδύνων (risk assessment and mitigation report), η οποία εκπονείται από φορέα </w:t>
      </w:r>
      <w:r w:rsidRPr="000E4674">
        <w:t xml:space="preserve">της παρ. </w:t>
      </w:r>
      <w:r w:rsidR="005170B8" w:rsidRPr="000E4674">
        <w:t>15.2. (ιε) της Προκήρυξης</w:t>
      </w:r>
      <w:r w:rsidR="005170B8">
        <w:t xml:space="preserve">. </w:t>
      </w:r>
      <w:r w:rsidRPr="004E7B57">
        <w:t>Η προσκόμιση του ασφαλιστηρίου και της συνοδευτικής έκθεσης του προηγούμενου εδαφίου αποτελεί προϋπόθεση για την ηλέκτριση του Σ.Α.Η.Ε. και την έναρξη της δοκιμαστικής του λειτουργίας, όπως και για την έκδοση της άδειας λειτουργίας αυτού στη συνέχεια. Η απαίτηση αυτή δύναται να καλύπτεται και με ασφαλιστήρια συμβόλαια μικρότερης διάρκειας, τα οποία ανανεώνονται εγκαίρως και προσκομίζονται στη Ρ.Α.Α.Ε.Υ., στον Διαχειριστή Α.Π.Ε. και Εγγυήσεων Προέλευσης και στον φορέα έκδοσης της άδειας λειτουργίας του Σ.Α.Η.Ε..</w:t>
      </w:r>
    </w:p>
    <w:p w14:paraId="33716E60" w14:textId="7E9B2A91" w:rsidR="00C23138" w:rsidRDefault="00C23138" w:rsidP="00E67595">
      <w:pPr>
        <w:pStyle w:val="a4"/>
        <w:numPr>
          <w:ilvl w:val="0"/>
          <w:numId w:val="14"/>
        </w:numPr>
      </w:pPr>
      <w:r>
        <w:t xml:space="preserve">Κατά τη συμμετοχή στις </w:t>
      </w:r>
      <w:r w:rsidRPr="004E7B57">
        <w:t>Αγορές ηλεκτρικής ενέργειας</w:t>
      </w:r>
      <w:r w:rsidR="00FE7806">
        <w:t xml:space="preserve">, ο </w:t>
      </w:r>
      <w:bookmarkStart w:id="97" w:name="_Hlk137549357"/>
      <w:r w:rsidR="00FE7806">
        <w:t>Επιλεγείς Συμμετέχων</w:t>
      </w:r>
      <w:bookmarkEnd w:id="97"/>
      <w:r>
        <w:t>:</w:t>
      </w:r>
    </w:p>
    <w:p w14:paraId="21A41E7C" w14:textId="3A2A3EF1" w:rsidR="00C23138" w:rsidRDefault="005170B8" w:rsidP="00E67595">
      <w:pPr>
        <w:pStyle w:val="a4"/>
        <w:numPr>
          <w:ilvl w:val="0"/>
          <w:numId w:val="15"/>
        </w:numPr>
      </w:pPr>
      <w:r>
        <w:t>Θ</w:t>
      </w:r>
      <w:r w:rsidR="00C23138" w:rsidRPr="004E7B57">
        <w:t>α συμμετέχ</w:t>
      </w:r>
      <w:r w:rsidR="00C23138">
        <w:t>ει</w:t>
      </w:r>
      <w:r w:rsidR="00C23138" w:rsidRPr="004E7B57">
        <w:t xml:space="preserve"> στις Αγορές ηλεκτρικής ενέργειας, σύμφωνα με τα ειδικότερα</w:t>
      </w:r>
      <w:r w:rsidR="00C23138">
        <w:t xml:space="preserve"> </w:t>
      </w:r>
      <w:r w:rsidR="00C23138" w:rsidRPr="004E7B57">
        <w:t>οριζόμενα στους οικείους Κανονισμούς για Σ.Α.Η.Ε., υποβάλλοντας σε οποιαδήποτε από τις Αγορές ηλεκτρικής ενέργειας προσφορές ενέργειας που αντιστοιχούν τουλάχιστον σε μια πλήρη εκφόρτιση και σε μια πλήρη φόρτιση για κάθε ημέρα για την οποία είναι διαθέσιμοι.</w:t>
      </w:r>
    </w:p>
    <w:p w14:paraId="30324B12" w14:textId="4F6D15B5" w:rsidR="00C23138" w:rsidRDefault="005170B8" w:rsidP="00E67595">
      <w:pPr>
        <w:pStyle w:val="a4"/>
        <w:numPr>
          <w:ilvl w:val="0"/>
          <w:numId w:val="15"/>
        </w:numPr>
      </w:pPr>
      <w:r>
        <w:t>Δεν θα</w:t>
      </w:r>
      <w:r w:rsidR="00C23138">
        <w:t xml:space="preserve"> συνάπτει </w:t>
      </w:r>
      <w:r w:rsidR="00C23138" w:rsidRPr="004E7B57">
        <w:t xml:space="preserve">διμερείς συμβάσεις αγοραπωλησίας ηλεκτρικής ενέργειας και </w:t>
      </w:r>
      <w:r w:rsidR="00C23138">
        <w:t xml:space="preserve">να μην </w:t>
      </w:r>
      <w:r w:rsidR="00C23138">
        <w:lastRenderedPageBreak/>
        <w:t>συμμετέχει</w:t>
      </w:r>
      <w:r w:rsidR="00C23138" w:rsidRPr="004E7B57">
        <w:t xml:space="preserve"> στην Ενεργειακή Χρηματοπιστωτική Αγορά καθ’ όλη την Περίοδο Ενίσχυσης.</w:t>
      </w:r>
    </w:p>
    <w:p w14:paraId="1476CB15" w14:textId="195BBF16" w:rsidR="00C23138" w:rsidRDefault="00F0739B" w:rsidP="00E67595">
      <w:pPr>
        <w:pStyle w:val="a4"/>
        <w:numPr>
          <w:ilvl w:val="0"/>
          <w:numId w:val="15"/>
        </w:numPr>
      </w:pPr>
      <w:r>
        <w:t>Θ</w:t>
      </w:r>
      <w:r w:rsidR="00C23138">
        <w:t xml:space="preserve">α συμμετέχει </w:t>
      </w:r>
      <w:r w:rsidR="00C23138" w:rsidRPr="004E7B57">
        <w:t>στις Αγορές ηλεκτρικής ενέργειας είτε ως διακριτ</w:t>
      </w:r>
      <w:r w:rsidR="00DC09EF">
        <w:t>ή</w:t>
      </w:r>
      <w:r w:rsidR="00C23138" w:rsidRPr="004E7B57">
        <w:t xml:space="preserve"> οντότητ</w:t>
      </w:r>
      <w:r w:rsidR="00DC09EF">
        <w:t>α</w:t>
      </w:r>
      <w:r w:rsidR="00C23138" w:rsidRPr="004E7B57">
        <w:t xml:space="preserve"> υπηρεσιών εξισορρόπησης, είτε εντός χαρτοφυλακίων τα οποία περιλαμβάνουν μόνο Ενισχυόμενους Σ.Α.Η.Ε. της Α’ και της Β’ Ανταγωνιστικής Διαδικασίας και η συνολική μέγιστή ισχύς κάθε χαρτοφυλακίου είναι μικρότερη ή ίση των 50 </w:t>
      </w:r>
      <w:r w:rsidR="00C23138" w:rsidRPr="004E7B57">
        <w:rPr>
          <w:lang w:val="en-US"/>
        </w:rPr>
        <w:t>MW</w:t>
      </w:r>
      <w:r w:rsidR="00C23138" w:rsidRPr="004E7B57">
        <w:t>.</w:t>
      </w:r>
    </w:p>
    <w:p w14:paraId="2C599A6E" w14:textId="6F5C2C64" w:rsidR="00C23138" w:rsidRDefault="00F0739B" w:rsidP="00E67595">
      <w:pPr>
        <w:pStyle w:val="a4"/>
        <w:numPr>
          <w:ilvl w:val="0"/>
          <w:numId w:val="15"/>
        </w:numPr>
      </w:pPr>
      <w:r>
        <w:t>Θα</w:t>
      </w:r>
      <w:r w:rsidR="00C23138">
        <w:t xml:space="preserve"> παρέχει </w:t>
      </w:r>
      <w:r w:rsidR="00C23138" w:rsidRPr="004E7B57">
        <w:t>κατά προτεραιότητα υπηρεσίες, όπως ενδεικτικά η αποσυμφόρηση των δικτύων με στόχο την αύξηση του περιθωρίου υποδοχής ισχύος Α.Π.Ε., οι οποίες καθορίζονται από το ισχύον νομοθετικό και κανονιστικό πλαίσιο</w:t>
      </w:r>
      <w:r w:rsidR="00C23138">
        <w:t>.</w:t>
      </w:r>
      <w:r w:rsidR="0041217A">
        <w:t xml:space="preserve"> Για τις υπηρεσίες αυτές δεν δικαιούμαι πρόσθετη αποζημίωση, δεδομένου ότι το Έσοδο Αναφοράς εξασφαλίζει την οικονομική </w:t>
      </w:r>
      <w:r w:rsidR="00DC09EF">
        <w:t>μου</w:t>
      </w:r>
      <w:r w:rsidR="0041217A">
        <w:t xml:space="preserve"> βιωσιμότητα. </w:t>
      </w:r>
    </w:p>
    <w:p w14:paraId="099BFCC1" w14:textId="77777777" w:rsidR="00CF56B2" w:rsidRDefault="00C23138" w:rsidP="00CF56B2">
      <w:pPr>
        <w:pStyle w:val="a4"/>
        <w:numPr>
          <w:ilvl w:val="0"/>
          <w:numId w:val="15"/>
        </w:numPr>
      </w:pPr>
      <w:r w:rsidRPr="004E7B57">
        <w:t xml:space="preserve">Σε περίπτωση λήψης επενδυτικής, λειτουργικής ή άλλου είδους ενίσχυσης εκτός του παρόντος σχήματος ενίσχυσης, ακαθάριστων εσόδων και αμοιβών για παροχή πρόσθετων υπηρεσιών ή λοιπών εσόδων από δραστηριότητες αξιοποίησης παγίων του Ενισχυόμενου Σ.Α.Η.Ε., πέραν των Καθαρών Εσόδων Αγοράς, </w:t>
      </w:r>
      <w:r w:rsidR="00F0739B">
        <w:t>θ</w:t>
      </w:r>
      <w:r w:rsidRPr="004E7B57">
        <w:t>α ενημερώ</w:t>
      </w:r>
      <w:r w:rsidR="00DC09EF">
        <w:t>νω</w:t>
      </w:r>
      <w:r w:rsidRPr="004E7B57">
        <w:t xml:space="preserve"> τη Ρ.Α.Α.Ε.Υ. και τον Διαχειριστή Α.Π.Ε. και Εγγυήσεων Προέλευσης, παρέχοντας πλήρη στοιχεία για την πηγή και το ύψος των εσόδων αυτών.</w:t>
      </w:r>
    </w:p>
    <w:p w14:paraId="11CAF0F0" w14:textId="1A3D9DA1" w:rsidR="00CF56B2" w:rsidRDefault="00CF56B2" w:rsidP="00CF56B2">
      <w:pPr>
        <w:pStyle w:val="a4"/>
        <w:numPr>
          <w:ilvl w:val="0"/>
          <w:numId w:val="15"/>
        </w:numPr>
      </w:pPr>
      <w:r>
        <w:t xml:space="preserve">Οφείλει να </w:t>
      </w:r>
      <w:r w:rsidRPr="00CF56B2">
        <w:t>τηρεί τους λειτουργικούς περιορισμούς της παρ. 13 του άρθρου 10 του ν. 4951/2022 καθ’ όλη τη διάρκεια λειτουργίας του</w:t>
      </w:r>
      <w:r>
        <w:t xml:space="preserve"> Ε.Σ.Α.Η.Ε.</w:t>
      </w:r>
      <w:r w:rsidRPr="00CF56B2">
        <w:t>, σύμφωνα</w:t>
      </w:r>
      <w:r w:rsidRPr="004E7B57">
        <w:t xml:space="preserve"> με το ισχύον νομοθετικό και ρυθμιστικό πλαίσιο.</w:t>
      </w:r>
    </w:p>
    <w:p w14:paraId="2B24BBAF" w14:textId="0AE98BE7" w:rsidR="00C23138" w:rsidRDefault="00C23138" w:rsidP="00E67595">
      <w:pPr>
        <w:pStyle w:val="a4"/>
        <w:numPr>
          <w:ilvl w:val="0"/>
          <w:numId w:val="14"/>
        </w:numPr>
      </w:pPr>
      <w:r>
        <w:t xml:space="preserve">Για την παραμονή </w:t>
      </w:r>
      <w:r w:rsidRPr="004E7B57">
        <w:t xml:space="preserve">στο σχήμα στήριξης </w:t>
      </w:r>
      <w:r>
        <w:t>και τη</w:t>
      </w:r>
      <w:r w:rsidRPr="004E7B57">
        <w:t xml:space="preserve"> διατήρηση ορίων ισχύος συμμετοχής και κατακύρωσης</w:t>
      </w:r>
      <w:r w:rsidR="00FE7806">
        <w:t xml:space="preserve">, ο </w:t>
      </w:r>
      <w:r w:rsidR="00FE7806" w:rsidRPr="00FE7806">
        <w:t>Επιλεγείς Συμμετέχων</w:t>
      </w:r>
      <w:r w:rsidR="00FE7806">
        <w:t>:</w:t>
      </w:r>
    </w:p>
    <w:p w14:paraId="3B41026A" w14:textId="3D1BC195" w:rsidR="00C23138" w:rsidRDefault="007F4DBC" w:rsidP="00E67595">
      <w:pPr>
        <w:pStyle w:val="a4"/>
        <w:numPr>
          <w:ilvl w:val="0"/>
          <w:numId w:val="16"/>
        </w:numPr>
        <w:ind w:left="1843" w:hanging="567"/>
      </w:pPr>
      <w:r>
        <w:t>δ</w:t>
      </w:r>
      <w:r w:rsidR="00F0739B">
        <w:t>εν θα προβεί</w:t>
      </w:r>
      <w:r w:rsidR="00C23138">
        <w:t xml:space="preserve"> σε </w:t>
      </w:r>
      <w:r w:rsidR="00C23138" w:rsidRPr="004E7B57">
        <w:t>απένταξη του Σ.Α.Η.Ε.</w:t>
      </w:r>
      <w:r w:rsidR="00C23138">
        <w:t xml:space="preserve"> </w:t>
      </w:r>
      <w:r w:rsidR="00C23138" w:rsidRPr="004E7B57">
        <w:t>από το σχήμα στήριξης πριν από τη λήξη της Περιόδου Ενίσχυσης.</w:t>
      </w:r>
    </w:p>
    <w:p w14:paraId="09E39123" w14:textId="24A75805" w:rsidR="00DC09EF" w:rsidRDefault="007F4DBC" w:rsidP="00E67595">
      <w:pPr>
        <w:pStyle w:val="a4"/>
        <w:numPr>
          <w:ilvl w:val="0"/>
          <w:numId w:val="16"/>
        </w:numPr>
        <w:ind w:left="1843" w:hanging="567"/>
      </w:pPr>
      <w:r>
        <w:t>δ</w:t>
      </w:r>
      <w:r w:rsidR="00DC09EF">
        <w:t xml:space="preserve">εν θα προβεί σε μεταβολή της μέγιστης ισχύος έγχυσης ή της εγγυημένης χωρητικότητας του Ενισχυόμενου Σ.Α.Η.Ε. κατά την διάρκεια της Περιόδου Ενίσχυσης. </w:t>
      </w:r>
    </w:p>
    <w:p w14:paraId="48066E2E" w14:textId="6CFABEDE" w:rsidR="00C23138" w:rsidRDefault="007F4DBC" w:rsidP="00E67595">
      <w:pPr>
        <w:pStyle w:val="a4"/>
        <w:numPr>
          <w:ilvl w:val="0"/>
          <w:numId w:val="16"/>
        </w:numPr>
        <w:ind w:left="1843" w:hanging="567"/>
      </w:pPr>
      <w:r>
        <w:t>θ</w:t>
      </w:r>
      <w:r w:rsidR="00F0739B">
        <w:t>α καταθέτει</w:t>
      </w:r>
      <w:r w:rsidR="00C23138">
        <w:t xml:space="preserve"> </w:t>
      </w:r>
      <w:r w:rsidR="00C23138" w:rsidRPr="004E7B57">
        <w:t xml:space="preserve">στη Ρ.Α.Α.Ε.Υ., ετησίως καθ’ όλη τη διάρκεια της Περιόδου Ενίσχυσης, </w:t>
      </w:r>
      <w:r w:rsidR="00DC09EF">
        <w:t xml:space="preserve">υπεύθυνη </w:t>
      </w:r>
      <w:r w:rsidR="00C23138" w:rsidRPr="004E7B57">
        <w:t>δήλωση στην οποία βεβαιών</w:t>
      </w:r>
      <w:r w:rsidR="00DC09EF">
        <w:t>ει</w:t>
      </w:r>
      <w:r w:rsidR="00C23138" w:rsidRPr="004E7B57">
        <w:t xml:space="preserve"> ότι δεν έχ</w:t>
      </w:r>
      <w:r w:rsidR="00DC09EF">
        <w:t>ει</w:t>
      </w:r>
      <w:r w:rsidR="00C23138" w:rsidRPr="004E7B57">
        <w:t xml:space="preserve"> στην κατοχή του, </w:t>
      </w:r>
      <w:r w:rsidR="00DC09EF">
        <w:t>ο</w:t>
      </w:r>
      <w:r w:rsidR="00C23138" w:rsidRPr="004E7B57">
        <w:t xml:space="preserve"> ίδιο</w:t>
      </w:r>
      <w:r w:rsidR="00DC09EF">
        <w:t>ς</w:t>
      </w:r>
      <w:r w:rsidR="00C23138" w:rsidRPr="004E7B57">
        <w:t xml:space="preserve"> και οι Συνδεδεμένες ή Συνεργαζόμενες με αυτ</w:t>
      </w:r>
      <w:r w:rsidR="00DC09EF">
        <w:t>όν</w:t>
      </w:r>
      <w:r w:rsidR="00C23138" w:rsidRPr="004E7B57">
        <w:t xml:space="preserve"> Επιχειρήσεις, Ενισχυόμενους Σ.Α.Η.Ε. από την Α’ και τη Β’ Ανταγωνιστική Διαδικασία ισχύος μεγαλύτερης των 100 μεγαβάτ (MW).</w:t>
      </w:r>
    </w:p>
    <w:p w14:paraId="4FC84E05" w14:textId="089B3FA4" w:rsidR="006E318A" w:rsidRPr="00427631" w:rsidRDefault="007F4DBC" w:rsidP="009F42E7">
      <w:pPr>
        <w:pStyle w:val="a4"/>
        <w:numPr>
          <w:ilvl w:val="0"/>
          <w:numId w:val="16"/>
        </w:numPr>
        <w:tabs>
          <w:tab w:val="clear" w:pos="1189"/>
          <w:tab w:val="left" w:pos="1985"/>
        </w:tabs>
        <w:ind w:left="1843" w:hanging="567"/>
      </w:pPr>
      <w:r>
        <w:t>θα</w:t>
      </w:r>
      <w:r w:rsidR="006E318A" w:rsidRPr="00427631">
        <w:t xml:space="preserve"> συμμορφών</w:t>
      </w:r>
      <w:r w:rsidR="006E318A">
        <w:t>εται</w:t>
      </w:r>
      <w:r w:rsidR="006E318A" w:rsidRPr="00427631">
        <w:t xml:space="preserve"> με την αρχή της «Μη πρόκλησης σημαντικής βλάβης» κατά την έννοια του άρθρου 17 του Κανονισμού (ΕΕ) 2020/852 του Ευρωπαϊκού Κοινοβουλίου και του Συμβουλίου και συμμορφώνονται με την τεχνική καθοδήγηση σχετικά με την εφαρμογή της αρχής της «μη πρόκλησης σημαντικής βλάβης» (2021/C 58/01) του παραρτήματος ΙΧ του ανωτέρω Κανονισμού.</w:t>
      </w:r>
    </w:p>
    <w:p w14:paraId="25191F08" w14:textId="1979659E" w:rsidR="006E318A" w:rsidRDefault="007F4DBC" w:rsidP="009F42E7">
      <w:pPr>
        <w:pStyle w:val="a4"/>
        <w:numPr>
          <w:ilvl w:val="0"/>
          <w:numId w:val="16"/>
        </w:numPr>
        <w:tabs>
          <w:tab w:val="clear" w:pos="1189"/>
          <w:tab w:val="left" w:pos="1985"/>
        </w:tabs>
        <w:ind w:left="1843" w:hanging="567"/>
      </w:pPr>
      <w:r>
        <w:t>θα</w:t>
      </w:r>
      <w:r w:rsidR="006E318A" w:rsidRPr="00427631">
        <w:t xml:space="preserve"> μνημονεύ</w:t>
      </w:r>
      <w:r w:rsidR="006E318A">
        <w:t>ει</w:t>
      </w:r>
      <w:r w:rsidR="006E318A" w:rsidRPr="00427631">
        <w:t xml:space="preserve">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 NextGeneration EU». Η προβολή και ενημέρωση αναφορικά με τη χρηματοδοτική στήριξη </w:t>
      </w:r>
      <w:r w:rsidR="006E318A">
        <w:t>θ</w:t>
      </w:r>
      <w:r w:rsidR="006E318A" w:rsidRPr="00427631">
        <w:t>α πραγματοποιείται: α) μέσω του διαδικτυακού τόπου (εφόσον υπάρχει) του κατόχου του Ενισχυόμενου Σ.Α.Η.Ε, με την τοποθέτηση σε θέση ορατή κατά την είσοδο σε αυτόν, του ως άνω εμβλήματος με την αντίστοιχη ένδειξη, β) με τοποθέτηση σε εμφανές σημείο του Σ.Α.Η.Ε αυτοκόλλητου (σε ελάχιστο μέγεθος Α4) αναφορικά με τη συνδρομή του Ταμείου Ανάκαμψης στην υλοποίηση του έργου.</w:t>
      </w:r>
    </w:p>
    <w:p w14:paraId="48CA6D5B" w14:textId="77777777" w:rsidR="00672193" w:rsidRPr="004E7B57" w:rsidRDefault="00672193" w:rsidP="00672193">
      <w:r w:rsidRPr="004E7B57">
        <w:t>Ημερομηνία:</w:t>
      </w:r>
    </w:p>
    <w:p w14:paraId="18D21E38" w14:textId="77777777" w:rsidR="00672193" w:rsidRPr="004E7B57" w:rsidRDefault="00672193" w:rsidP="00672193">
      <w:pPr>
        <w:pStyle w:val="a3"/>
      </w:pPr>
    </w:p>
    <w:p w14:paraId="4FDDFBDF" w14:textId="77777777" w:rsidR="00672193" w:rsidRPr="004E7B57" w:rsidRDefault="00672193" w:rsidP="00672193">
      <w:r w:rsidRPr="004E7B57">
        <w:t>…../…../20…..</w:t>
      </w:r>
    </w:p>
    <w:p w14:paraId="12147654" w14:textId="77777777" w:rsidR="00672193" w:rsidRPr="004E7B57" w:rsidRDefault="00672193" w:rsidP="00672193">
      <w:pPr>
        <w:pStyle w:val="a3"/>
      </w:pPr>
    </w:p>
    <w:p w14:paraId="2C1AEFA4" w14:textId="3AA4B58D" w:rsidR="00F0739B" w:rsidRDefault="00672193" w:rsidP="006E318A">
      <w:r w:rsidRPr="004E7B57">
        <w:t>Ο/Η ∆ηλ. (Υπογραφή)</w:t>
      </w:r>
    </w:p>
    <w:bookmarkEnd w:id="96"/>
    <w:p w14:paraId="0BE1F0AE" w14:textId="77777777" w:rsidR="00672193" w:rsidRDefault="00672193">
      <w:pPr>
        <w:tabs>
          <w:tab w:val="clear" w:pos="1189"/>
        </w:tabs>
        <w:spacing w:after="0" w:line="240" w:lineRule="auto"/>
        <w:ind w:right="0"/>
        <w:jc w:val="left"/>
        <w:rPr>
          <w:b/>
          <w:bCs/>
          <w:sz w:val="24"/>
          <w:szCs w:val="24"/>
        </w:rPr>
      </w:pPr>
      <w:r>
        <w:br w:type="page"/>
      </w:r>
    </w:p>
    <w:p w14:paraId="059966E0" w14:textId="0CC5C9DF" w:rsidR="00F0739B" w:rsidRDefault="00AD2DB3" w:rsidP="00F0739B">
      <w:pPr>
        <w:pStyle w:val="20"/>
      </w:pPr>
      <w:bookmarkStart w:id="98" w:name="_Hlk137539480"/>
      <w:r>
        <w:lastRenderedPageBreak/>
        <w:t xml:space="preserve">ΙΙ. </w:t>
      </w:r>
      <w:r w:rsidR="00F0739B" w:rsidRPr="004E7B57">
        <w:t>Υπόδειγμα Υπεύθυνης</w:t>
      </w:r>
      <w:r w:rsidR="00F0739B">
        <w:t xml:space="preserve"> Δήλωσης Τήρησης Τεχνικών Απαιτήσεων</w:t>
      </w:r>
    </w:p>
    <w:p w14:paraId="690C43DD" w14:textId="77777777" w:rsidR="00F0739B" w:rsidRDefault="00F0739B" w:rsidP="00F0739B"/>
    <w:p w14:paraId="169460BC" w14:textId="77777777" w:rsidR="00F0739B" w:rsidRPr="004E7B57" w:rsidRDefault="00F0739B" w:rsidP="00F0739B">
      <w:r w:rsidRPr="004E7B57">
        <w:t>(άρθρο 8 Ν.1599/1986)</w:t>
      </w:r>
    </w:p>
    <w:p w14:paraId="554FD1E7" w14:textId="77777777" w:rsidR="00F0739B" w:rsidRPr="004E7B57" w:rsidRDefault="00F0739B" w:rsidP="00F0739B">
      <w:pPr>
        <w:pStyle w:val="a3"/>
      </w:pPr>
    </w:p>
    <w:p w14:paraId="7234814D" w14:textId="77777777" w:rsidR="00F0739B" w:rsidRPr="004E7B57" w:rsidRDefault="00F0739B" w:rsidP="00F0739B">
      <w:r w:rsidRPr="004E7B57">
        <w:t>Με ατομική μου ευθύνη και γνωρίζοντας τις κυρώσεις, που προβλέπονται από τις διατάξεις της παρ. 6 του άρθρου 22 του ν. 1599/1986, δηλώνω ότι:</w:t>
      </w:r>
    </w:p>
    <w:p w14:paraId="635166E0" w14:textId="77777777" w:rsidR="00F0739B" w:rsidRPr="004E7B57" w:rsidRDefault="00F0739B" w:rsidP="00F0739B">
      <w:r w:rsidRPr="004E7B57">
        <w:t>Ο/Η</w:t>
      </w:r>
      <w:r w:rsidRPr="004E7B57">
        <w:tab/>
        <w:t>υπογράφων/ουσα την</w:t>
      </w:r>
      <w:r w:rsidRPr="004E7B57">
        <w:tab/>
        <w:t>παρούσα ………………………….…………………………..</w:t>
      </w:r>
      <w:r w:rsidRPr="004E7B57">
        <w:tab/>
        <w:t>κάτοικος……………………………………………………………………….</w:t>
      </w:r>
    </w:p>
    <w:p w14:paraId="44E47B9D" w14:textId="77777777" w:rsidR="00F0739B" w:rsidRPr="004E7B57" w:rsidRDefault="00F0739B" w:rsidP="00F0739B">
      <w:r w:rsidRPr="004E7B57">
        <w:t>…………….. (οδός/αριθ)…………………………………….., κάτοχος του Δελτίου Αστυνομικής Ταυτότητας με τον αριθμό   ……………………………, που εκδόθηκε από………………………………………….. στις ………………………, νόμιμος εκπρόσωπος της ανώνυμης εταιρείας (A.E.) / της εταιρείας περιορισμένης ευθύνης (E.Π.Ε.)/ της ομόρρυθμης εταιρείας (O.E.) / της ετερόρρυθμης εταιρείας (E.E.) / της ιδιωτικής κεφαλαιουχικής εταιρείας (I.K.E.) / του νομικού προσώπου δημοσίου / ιδιωτικού δικαίου (Ν.Π.Δ.Δ. / Ν.Π.Ι.Δ.) / του συνεταιρισμού/ της Ενεργειακής Κοινότητας/ Κοινότητα Ανανεώσιμης Ενέργειας/ Ενεργειακή Κοινότητα Πολιτών  με την επωνυμία……………………………και το διακριτικό τίτλο………………………..</w:t>
      </w:r>
      <w:r w:rsidRPr="004E7B57">
        <w:tab/>
        <w:t xml:space="preserve">(Αρ. Γ.Ε.ΜΗ .......................) δυνάμει της από…………………………….απόφασης του Διοικητικού Συμβουλίου (ή του/ων Διαχειριστού/ων αυτής), Συμμετέχουσας/οντος στην </w:t>
      </w:r>
      <w:r w:rsidRPr="002119BD">
        <w:rPr>
          <w:b/>
          <w:bCs/>
        </w:rPr>
        <w:t>Α</w:t>
      </w:r>
      <w:r>
        <w:rPr>
          <w:b/>
          <w:bCs/>
        </w:rPr>
        <w:t>’</w:t>
      </w:r>
      <w:r w:rsidRPr="002119BD">
        <w:rPr>
          <w:b/>
          <w:bCs/>
        </w:rPr>
        <w:t xml:space="preserve"> Ανταγωνιστική Διαδικασία υποβολής προσφορών για τη χορήγηση επενδυτικής και λειτουργικής ενίσχυσης</w:t>
      </w:r>
      <w:r>
        <w:rPr>
          <w:b/>
          <w:bCs/>
        </w:rPr>
        <w:t xml:space="preserve"> σε σταθμούς αποθήκευσης ηλεκτρικής ενέργειας (Σ.Α.Η.Ε.) </w:t>
      </w:r>
      <w:r>
        <w:t xml:space="preserve">σύμφωνα με την </w:t>
      </w:r>
      <w:r w:rsidRPr="004E7B57">
        <w:t xml:space="preserve">υπ’ αριθ. …………. 2023 </w:t>
      </w:r>
      <w:r>
        <w:t xml:space="preserve">Προκήρυξη της Ρ.Α.Α.Ε.Υ. (εφεξής «Προκήρυξη») </w:t>
      </w:r>
      <w:r w:rsidRPr="004E7B57">
        <w:t>για τη χορήγηση επενδυτικής και λειτουργικής ενίσχυσης σε σταθμούς αποθήκευσης ηλεκτρικής ενέργειας, σύμφωνα με την παρ. 4 του άρθρου 143στ του ν. 4001/2011 (Α’ 179)</w:t>
      </w:r>
      <w:r>
        <w:t xml:space="preserve"> και την υπ’ αριθμ. ΥΠΕΝ/ΔΗΕ/55948/1087 Υπουργική Απόφαση (ΦΕΚ Β’ 3416) (εφεξής «Υπουργική Απόφαση), </w:t>
      </w:r>
      <w:r w:rsidRPr="004E7B57">
        <w:t>δηλώνω, σύμφωνα με το άρθρο 8 του ν. 1599/1986 (Α’ 75), έχοντας πλήρη γνώση των συνεπειών της δήλωσής μου αυτής, όπως οι συνέπειες αυτές ορίζονται στις γενικές περί υπευθύνων δηλώσεων διατάξεις, και γνωρίζοντας τις κυρώσεις, που προβλέπονται από τις διατάξεις της παρ. 6 του άρθρου 22 του ν. 1599/1986, τα ακόλουθα:</w:t>
      </w:r>
    </w:p>
    <w:p w14:paraId="5A623BB5" w14:textId="77777777" w:rsidR="00F0739B" w:rsidRDefault="00F0739B" w:rsidP="00F0739B"/>
    <w:p w14:paraId="1E722DF6" w14:textId="374F76A5" w:rsidR="00F0739B" w:rsidRDefault="00F0739B" w:rsidP="00F0739B">
      <w:r w:rsidRPr="004E7B57">
        <w:t>Σε περίπτωση που αναδειχθώ/ αναδειχθεί το νομικό πρόσωπο που εκπροσωπώ Επιλεγείς Συμμετέχων δηλώνω ότι</w:t>
      </w:r>
      <w:r w:rsidR="00861E3E">
        <w:t xml:space="preserve"> ο Σ.Α.Η.Ε. θα πληροί τις τεχνικές προδιαγραφές και απαιτήσεις που προβλέπονται στα άρθρα 7 και 8 της Υπουργικής Απόφασης, στο άρθρο 15 της Προκήρυξης και στο Παράρτημα Η της Προκήρυξης και συγκεκριμένα</w:t>
      </w:r>
      <w:r w:rsidR="00F86169">
        <w:t>:</w:t>
      </w:r>
    </w:p>
    <w:p w14:paraId="2A28AD42" w14:textId="77777777" w:rsidR="00F86169" w:rsidRDefault="00F86169" w:rsidP="00E67595">
      <w:pPr>
        <w:pStyle w:val="a4"/>
        <w:numPr>
          <w:ilvl w:val="0"/>
          <w:numId w:val="18"/>
        </w:numPr>
      </w:pPr>
      <w:r>
        <w:t>Ο Σ.Α.Η.Ε. θα διαθέτει  εγγυημένη (ωφέλιμη) χωρητικότητα διάρκειας τουλάχιστον δύο (2) ωρών (MWh/MW).</w:t>
      </w:r>
      <w:r w:rsidRPr="003F796A">
        <w:t xml:space="preserve"> </w:t>
      </w:r>
    </w:p>
    <w:p w14:paraId="642669FD" w14:textId="1404403A" w:rsidR="00F86169" w:rsidRDefault="00F86169" w:rsidP="00E67595">
      <w:pPr>
        <w:pStyle w:val="a4"/>
        <w:numPr>
          <w:ilvl w:val="0"/>
          <w:numId w:val="18"/>
        </w:numPr>
      </w:pPr>
      <w:r>
        <w:t xml:space="preserve">Ο Σ.Α.Η.Ε. </w:t>
      </w:r>
      <w:r w:rsidR="00587485">
        <w:t>θ</w:t>
      </w:r>
      <w:r>
        <w:t>α διαθέτει β</w:t>
      </w:r>
      <w:r w:rsidRPr="004E7B57">
        <w:t xml:space="preserve">αθμό απόδοσης πλήρους κύκλου κατ’ ελάχιστον ίσο με 80% κατά την έναρξη λειτουργίας του, συμπεριλαμβανομένου του συνόλου των ιδιοκαταναλώσεων και εσωτερικών απωλειών του. </w:t>
      </w:r>
      <w:r>
        <w:t>Κατά</w:t>
      </w:r>
      <w:r w:rsidRPr="004E7B57">
        <w:t xml:space="preserve"> τα επόμενα έτη της Περιόδου Ενίσχυσης </w:t>
      </w:r>
      <w:r>
        <w:t>η τιμή αυτή θα απομειώνεται</w:t>
      </w:r>
      <w:r w:rsidRPr="004E7B57">
        <w:t xml:space="preserve"> κατά 0,5% ανά έτος λειτουργίας</w:t>
      </w:r>
      <w:r>
        <w:t xml:space="preserve"> το μέγιστο</w:t>
      </w:r>
      <w:r w:rsidRPr="004E7B57">
        <w:t xml:space="preserve">. </w:t>
      </w:r>
      <w:r w:rsidR="002B3158">
        <w:t>/ Ο</w:t>
      </w:r>
      <w:r w:rsidRPr="004E7B57">
        <w:t xml:space="preserve"> Σ.Α.Η.Ε. τεχνολογίας αντλησιοταμίευσης, </w:t>
      </w:r>
      <w:r w:rsidR="002B3158">
        <w:t xml:space="preserve">θα διαθέτει </w:t>
      </w:r>
      <w:r w:rsidRPr="004E7B57">
        <w:t xml:space="preserve">βαθμό απόδοσης πλήρους κύκλου </w:t>
      </w:r>
      <w:r w:rsidR="002B3158">
        <w:t>κατ’ ελάχιστο ίσο</w:t>
      </w:r>
      <w:r w:rsidRPr="004E7B57">
        <w:t xml:space="preserve"> </w:t>
      </w:r>
      <w:r w:rsidR="002B3158">
        <w:t>μ</w:t>
      </w:r>
      <w:r w:rsidRPr="004E7B57">
        <w:t>ε 72%, χωρίς εφαρμογή της ετήσιας απομείωσης.</w:t>
      </w:r>
    </w:p>
    <w:p w14:paraId="01831C8D" w14:textId="2617F159" w:rsidR="00F86169" w:rsidRDefault="00F86169" w:rsidP="00E67595">
      <w:pPr>
        <w:pStyle w:val="a4"/>
        <w:numPr>
          <w:ilvl w:val="0"/>
          <w:numId w:val="18"/>
        </w:numPr>
      </w:pPr>
      <w:r>
        <w:t>Ο Σ.Α.Η.Ε. ό</w:t>
      </w:r>
      <w:r w:rsidRPr="004E7B57">
        <w:t>ταν βρίσκ</w:t>
      </w:r>
      <w:r>
        <w:t>ε</w:t>
      </w:r>
      <w:r w:rsidRPr="004E7B57">
        <w:t>ται σε κατάσταση αναμονής ("active and stand-by”,</w:t>
      </w:r>
      <w:r w:rsidRPr="004E7B57" w:rsidDel="000E000D">
        <w:t xml:space="preserve"> </w:t>
      </w:r>
      <w:r w:rsidRPr="004E7B57">
        <w:t>ήτοι ενεργ</w:t>
      </w:r>
      <w:r>
        <w:t>ός</w:t>
      </w:r>
      <w:r w:rsidRPr="004E7B57">
        <w:t xml:space="preserve"> και συνδεδεμένο</w:t>
      </w:r>
      <w:r>
        <w:t>ς</w:t>
      </w:r>
      <w:r w:rsidRPr="004E7B57">
        <w:t xml:space="preserve"> με το Ε.Σ.Μ.Η.Ε., με το σύστημα αποθήκευσης σε πλήρη ετοιμότητα να ανταλλάξει ενέργεια και με ενεργό το σύστημα μετατροπής ισχύος, αλλά χωρίς να ανταλλάσσεται ενέργεια, εκτός ενδεχομένως για την κάλυψη απωλειών), η συνολική κατανάλωση ενέργειας για οποιονδήποτε σκοπό (βοηθητικές καταναλώσεις, απώλειες και αυτοεκφόρτιση των συστημάτων αποθήκευσης) και ανεξαρτήτως του τρόπου εξυπηρέτησής της (απορρόφηση από το δίκτυο ή εκφόρτιση των συστημάτων αποθήκευσης) δεν </w:t>
      </w:r>
      <w:r w:rsidR="00587485">
        <w:t xml:space="preserve">θα </w:t>
      </w:r>
      <w:r w:rsidRPr="004E7B57">
        <w:t>υπερβαίνει σε ημερήσια βάση το 15% της εγγυημένης χωρητικότητάς τους.</w:t>
      </w:r>
    </w:p>
    <w:p w14:paraId="4EE96B04" w14:textId="77777777" w:rsidR="00AE5EB7" w:rsidRDefault="00F86169" w:rsidP="00AE5EB7">
      <w:pPr>
        <w:pStyle w:val="a4"/>
        <w:numPr>
          <w:ilvl w:val="0"/>
          <w:numId w:val="18"/>
        </w:numPr>
      </w:pPr>
      <w:r>
        <w:t xml:space="preserve">Ο Σ.Α.Η.Ε. </w:t>
      </w:r>
      <w:r w:rsidR="00587485">
        <w:t>θ</w:t>
      </w:r>
      <w:r>
        <w:t>α επιτυγχάνει Διαθεσιμότητα ισχύος</w:t>
      </w:r>
      <w:r w:rsidRPr="00D64883">
        <w:t xml:space="preserve"> </w:t>
      </w:r>
      <w:r w:rsidRPr="004E7B57">
        <w:t>τουλάχιστον ίση με 93%, η οποία υπολογίζεται ως μέση τιμή ανά διετία, για διαδοχικές διετίες</w:t>
      </w:r>
      <w:r w:rsidR="002B3158">
        <w:t>.</w:t>
      </w:r>
    </w:p>
    <w:p w14:paraId="0FBFF20B" w14:textId="2C43299E" w:rsidR="00AE5EB7" w:rsidRDefault="00AE5EB7" w:rsidP="00861E3E">
      <w:pPr>
        <w:pStyle w:val="a4"/>
        <w:numPr>
          <w:ilvl w:val="0"/>
          <w:numId w:val="18"/>
        </w:numPr>
      </w:pPr>
      <w:r>
        <w:t>Ο</w:t>
      </w:r>
      <w:r w:rsidRPr="004E7B57">
        <w:t xml:space="preserve"> Σ.Α.Η.Ε. </w:t>
      </w:r>
      <w:r>
        <w:t>θα συμμορφώνεται με</w:t>
      </w:r>
      <w:r w:rsidRPr="003F796A">
        <w:t xml:space="preserve"> το σύνολο των τεχνικών απαιτήσεων για σύνδεση σταθμών </w:t>
      </w:r>
      <w:r w:rsidRPr="003F796A">
        <w:lastRenderedPageBreak/>
        <w:t xml:space="preserve">αποθήκευσης με το Ε.Σ.Μ.Η.Ε. ή με το σύστημα άλλης χώρας του Ε.Ο.Χ., κατά τα οριζόμενα στο άρθρο 16 της Υπουργικής Απόφασης, σύμφωνα με τις σχετικές αποφάσεις της Ρ.Α.Α.Ε.Υ. </w:t>
      </w:r>
      <w:r w:rsidRPr="003F0DAE">
        <w:t>για τη θέσπιση του Κώδικα Διαχείρισης Σύστηματος όσον αφορά τις απαιτήσεις για τη σύνδεση ηλεκτροπαραγωγών με το σύστημα, όπως εκάστοτε ισχύει</w:t>
      </w:r>
      <w:r w:rsidRPr="003F796A">
        <w:t>, ή άλλου αντίστοιχου που  περιλαμβάνει ανάλογες  απαιτήσεις για τη σύνδεση Σ.Α.Η.Ε.</w:t>
      </w:r>
      <w:r>
        <w:t xml:space="preserve"> και το </w:t>
      </w:r>
      <w:r w:rsidRPr="00AE5EB7">
        <w:t>Παράρτημα Η.2.</w:t>
      </w:r>
      <w:r>
        <w:t xml:space="preserve"> της Προκήρυξης. </w:t>
      </w:r>
    </w:p>
    <w:p w14:paraId="362E9239" w14:textId="6C1F8452" w:rsidR="00F86169" w:rsidRDefault="00F86169" w:rsidP="00E67595">
      <w:pPr>
        <w:pStyle w:val="a4"/>
        <w:numPr>
          <w:ilvl w:val="0"/>
          <w:numId w:val="18"/>
        </w:numPr>
      </w:pPr>
      <w:r>
        <w:t xml:space="preserve">Ο Σ.Α.Η.Ε. </w:t>
      </w:r>
      <w:r w:rsidR="00587485">
        <w:t>θ</w:t>
      </w:r>
      <w:r>
        <w:t>α έ</w:t>
      </w:r>
      <w:r w:rsidRPr="004E7B57">
        <w:t>χ</w:t>
      </w:r>
      <w:r>
        <w:t>ει</w:t>
      </w:r>
      <w:r w:rsidRPr="004E7B57">
        <w:t xml:space="preserve"> ικανότητα συμμετοχής στις διαδικασίες εφεδρείας διατήρησης συχνότητας (εξαιρουμένων των Σ.Α.Η.Ε. τεχνολογίας αντλησιοταμίευσης), χειροκίνητης και αυτόματης εφεδρείας αποκατάστασης συχνότητας (ΕΔΣ, χΕΑΣ και αΕΑΣ) του Ε.Σ.Μ.Η.Ε. ή του συστήματος άλλης χώρας του Ε.Ο.Χ. στην οποία είναι εγκατεστημένοι και λειτουργούν, σύμφωνα με το άρθρο 16 της Υπουργικής Απόφασης. Η ικανότητα συμμετοχής </w:t>
      </w:r>
      <w:r w:rsidR="000842CE">
        <w:t xml:space="preserve">θα </w:t>
      </w:r>
      <w:r w:rsidRPr="004E7B57">
        <w:t>πιστοποιείται από τις δοκιμές προεπιλογής που εκτελεί ο Διαχειριστής του Ε.Σ.Μ.Η.Ε. σύμφωνα με τον Κανονισμό Αγοράς Εξισορρόπησης.</w:t>
      </w:r>
    </w:p>
    <w:p w14:paraId="33AC64A8" w14:textId="4A8C6912" w:rsidR="00F86169" w:rsidRDefault="00F86169" w:rsidP="00E67595">
      <w:pPr>
        <w:pStyle w:val="a4"/>
        <w:numPr>
          <w:ilvl w:val="0"/>
          <w:numId w:val="18"/>
        </w:numPr>
      </w:pPr>
      <w:r>
        <w:t xml:space="preserve">Ο Σ.Α.Η.Ε., εάν είναι </w:t>
      </w:r>
      <w:r w:rsidRPr="004E7B57">
        <w:t>τεχνολογίας συσσωρευτών</w:t>
      </w:r>
      <w:r>
        <w:t>,</w:t>
      </w:r>
      <w:r w:rsidRPr="004E7B57">
        <w:t xml:space="preserve"> </w:t>
      </w:r>
      <w:r w:rsidR="00587485">
        <w:t>θ</w:t>
      </w:r>
      <w:r w:rsidRPr="004E7B57">
        <w:t>α είναι συμβατ</w:t>
      </w:r>
      <w:r>
        <w:t>ός</w:t>
      </w:r>
      <w:r w:rsidRPr="004E7B57">
        <w:t xml:space="preserve"> με τα πρότυπα EN IEC 62933-5-2, NFPA 855, EN IEC 61936-1 ή με ισοδύναμα διεθνή ή εθνικά πρότυπα και κανονισμούς. Ανάλογες απαιτήσεις εφαρμόζονται και για τις λοιπές τεχνολογίες αποθήκευσης, εξειδικευόμενες κατά περίπτωση ως προς τα ειδικά χαρακτηριστικά τους.</w:t>
      </w:r>
    </w:p>
    <w:p w14:paraId="79166881" w14:textId="45A33B0D" w:rsidR="00D533B2" w:rsidRDefault="00D533B2" w:rsidP="00E67595">
      <w:pPr>
        <w:pStyle w:val="a4"/>
        <w:numPr>
          <w:ilvl w:val="0"/>
          <w:numId w:val="18"/>
        </w:numPr>
      </w:pPr>
      <w:r>
        <w:t>Ο Σ.Α.Η.Ε</w:t>
      </w:r>
      <w:r w:rsidRPr="004E7B57">
        <w:t xml:space="preserve"> </w:t>
      </w:r>
      <w:r w:rsidR="00587485">
        <w:t>θ</w:t>
      </w:r>
      <w:r w:rsidRPr="004E7B57">
        <w:t>α είναι ασφαλισμένο</w:t>
      </w:r>
      <w:r>
        <w:t>ς</w:t>
      </w:r>
      <w:r w:rsidRPr="004E7B57">
        <w:t xml:space="preserve"> από έγκριτο ασφαλιστικό φορέα, τουλάχιστον έναντι πυρκαγιάς, εκρήξεων και διάχυσης τοξικών υλικών καθ’ όλη τη διάρκεια της κατασκευής και της μετέπειτα λειτουργίας του.</w:t>
      </w:r>
    </w:p>
    <w:p w14:paraId="6B52069D" w14:textId="38F00904" w:rsidR="00F86169" w:rsidRDefault="00587485" w:rsidP="00E67595">
      <w:pPr>
        <w:pStyle w:val="a4"/>
        <w:numPr>
          <w:ilvl w:val="0"/>
          <w:numId w:val="18"/>
        </w:numPr>
      </w:pPr>
      <w:r>
        <w:t xml:space="preserve">Δεν θα </w:t>
      </w:r>
      <w:r w:rsidR="00F86169" w:rsidRPr="004E7B57">
        <w:t>χρησιμοποι</w:t>
      </w:r>
      <w:r w:rsidR="00F86169">
        <w:t>ώ</w:t>
      </w:r>
      <w:r w:rsidR="00F86169" w:rsidRPr="004E7B57">
        <w:t xml:space="preserve"> μεταχειρισμένο ή ανακατασκευασμένο (second-life) εξοπλισμό.</w:t>
      </w:r>
    </w:p>
    <w:p w14:paraId="44D4A773" w14:textId="7C780E22" w:rsidR="00F86169" w:rsidRPr="004E7B57" w:rsidRDefault="00F86169" w:rsidP="00E67595">
      <w:pPr>
        <w:pStyle w:val="a4"/>
        <w:numPr>
          <w:ilvl w:val="0"/>
          <w:numId w:val="18"/>
        </w:numPr>
      </w:pPr>
      <w:r w:rsidRPr="004E7B57">
        <w:t>Ο εξοπλισμός</w:t>
      </w:r>
      <w:r>
        <w:t>,</w:t>
      </w:r>
      <w:r w:rsidRPr="004E7B57">
        <w:t xml:space="preserve"> μετά το πέρας της διάρκειας ζωής του, </w:t>
      </w:r>
      <w:r w:rsidR="00587485">
        <w:t>θ</w:t>
      </w:r>
      <w:r w:rsidRPr="004E7B57">
        <w:t xml:space="preserve">α αποξηλωθεί και </w:t>
      </w:r>
      <w:r w:rsidR="00587485">
        <w:t>θ</w:t>
      </w:r>
      <w:r w:rsidRPr="004E7B57">
        <w:t>α ανακυκλωθεί, με μέριμνα τ</w:t>
      </w:r>
      <w:r>
        <w:t>ου</w:t>
      </w:r>
      <w:r w:rsidRPr="004E7B57">
        <w:t xml:space="preserve"> Κατόχ</w:t>
      </w:r>
      <w:r>
        <w:t>ου</w:t>
      </w:r>
      <w:r w:rsidRPr="004E7B57">
        <w:t xml:space="preserve"> αυτ</w:t>
      </w:r>
      <w:r>
        <w:t>ού</w:t>
      </w:r>
      <w:r w:rsidRPr="004E7B57">
        <w:t xml:space="preserve"> και με εφαρμογή των βέλτιστων διαθέσιμων πρακτικών, σύμφωνα με την ισχύουσα νομοθεσία.</w:t>
      </w:r>
    </w:p>
    <w:p w14:paraId="6EC9225C" w14:textId="00AA2ED7" w:rsidR="00985446" w:rsidRPr="003F0DAE" w:rsidRDefault="00985446" w:rsidP="00E67595">
      <w:pPr>
        <w:pStyle w:val="a4"/>
        <w:numPr>
          <w:ilvl w:val="0"/>
          <w:numId w:val="18"/>
        </w:numPr>
      </w:pPr>
      <w:r w:rsidRPr="003F796A">
        <w:t xml:space="preserve">Η τεχνολογία αποθήκευσης του Σ.Α.Η.Ε. </w:t>
      </w:r>
      <w:r w:rsidR="009334B7">
        <w:t xml:space="preserve">(σε περίπτωση που δεν είναι αντλησιοταμίευση ή συσσωρευτές ιόντων λιθίου) </w:t>
      </w:r>
      <w:r w:rsidR="000842CE">
        <w:t xml:space="preserve">θα αποδεικνύεται ότι </w:t>
      </w:r>
      <w:r w:rsidRPr="003F796A">
        <w:t>έχει χρησιμοποιηθεί διεθνώς σε εγκαταστάσεις αποθήκευσης ηλεκτρικής ενέργειας οι οποίες συμμετέχουν σε Αγορές ηλεκτρικής ενέργειας και έχουν τεθεί σε λειτουργία μετά την 01</w:t>
      </w:r>
      <w:r w:rsidRPr="00D533B2">
        <w:rPr>
          <w:vertAlign w:val="superscript"/>
        </w:rPr>
        <w:t>η</w:t>
      </w:r>
      <w:r w:rsidRPr="003F796A">
        <w:t>.01.2018, συνολικής χωρητικότητας τουλάχιστον ίσης με 1.000 MWh</w:t>
      </w:r>
      <w:r w:rsidR="00BB1B69">
        <w:t>.</w:t>
      </w:r>
      <w:r w:rsidRPr="003F796A">
        <w:t xml:space="preserve"> </w:t>
      </w:r>
    </w:p>
    <w:p w14:paraId="59B4462D" w14:textId="6B8815D1" w:rsidR="00F0739B" w:rsidRDefault="003F654D" w:rsidP="00E67595">
      <w:pPr>
        <w:pStyle w:val="a4"/>
        <w:numPr>
          <w:ilvl w:val="0"/>
          <w:numId w:val="18"/>
        </w:numPr>
      </w:pPr>
      <w:r>
        <w:t>Ο Σ.Α.Η.Ε</w:t>
      </w:r>
      <w:r w:rsidRPr="004E7B57">
        <w:t xml:space="preserve"> </w:t>
      </w:r>
      <w:r w:rsidR="00587485">
        <w:t>θ</w:t>
      </w:r>
      <w:r w:rsidR="00F0739B" w:rsidRPr="004E7B57">
        <w:t>α διαθέτ</w:t>
      </w:r>
      <w:r w:rsidR="00F0739B">
        <w:t>ει</w:t>
      </w:r>
      <w:r w:rsidR="00F0739B" w:rsidRPr="004E7B57">
        <w:t xml:space="preserve"> την τεχνική δυνατότητα να συμμετέχ</w:t>
      </w:r>
      <w:r w:rsidR="00F0739B">
        <w:t>ει</w:t>
      </w:r>
      <w:r w:rsidR="00F0739B" w:rsidRPr="004E7B57">
        <w:t xml:space="preserve"> ως διακριτ</w:t>
      </w:r>
      <w:r w:rsidR="00F0739B">
        <w:t>ή</w:t>
      </w:r>
      <w:r w:rsidR="00F0739B" w:rsidRPr="004E7B57">
        <w:t xml:space="preserve"> οντότητ</w:t>
      </w:r>
      <w:r w:rsidR="00F0739B">
        <w:t>α</w:t>
      </w:r>
      <w:r w:rsidR="00F0739B" w:rsidRPr="004E7B57">
        <w:t xml:space="preserve"> υπηρεσιών εξισορρόπησης στις Αγορές ηλεκτρικής ενέργειας, με πλήρη ενσωμάτωσή του στο σύστημα αυτόματης ρύθμισης παραγωγής του Ε.Σ.Μ.Η.Ε. ή του συστήματος άλλης χώρας του Ε.Ο.Χ. στην οποία είναι εγκατεστημένοι και λειτουργούν σύμφωνα με το άρθρο 16 της Υπουργικής Απόφασης.</w:t>
      </w:r>
    </w:p>
    <w:p w14:paraId="48B76D33" w14:textId="53E9355F" w:rsidR="00C23138" w:rsidRPr="00F0739B" w:rsidRDefault="00C23138" w:rsidP="00F0739B"/>
    <w:p w14:paraId="0A251B6F" w14:textId="77777777" w:rsidR="00672193" w:rsidRPr="004E7B57" w:rsidRDefault="00672193" w:rsidP="00672193">
      <w:r w:rsidRPr="004E7B57">
        <w:t>Ημερομηνία:</w:t>
      </w:r>
    </w:p>
    <w:p w14:paraId="4C9A258C" w14:textId="77777777" w:rsidR="00672193" w:rsidRPr="004E7B57" w:rsidRDefault="00672193" w:rsidP="00672193">
      <w:pPr>
        <w:pStyle w:val="a3"/>
      </w:pPr>
    </w:p>
    <w:p w14:paraId="509F5CDA" w14:textId="77777777" w:rsidR="00672193" w:rsidRPr="004E7B57" w:rsidRDefault="00672193" w:rsidP="00672193">
      <w:r w:rsidRPr="004E7B57">
        <w:t>…../…../20…..</w:t>
      </w:r>
    </w:p>
    <w:p w14:paraId="0CB9EDBE" w14:textId="77777777" w:rsidR="00672193" w:rsidRPr="004E7B57" w:rsidRDefault="00672193" w:rsidP="00672193">
      <w:pPr>
        <w:pStyle w:val="a3"/>
      </w:pPr>
    </w:p>
    <w:p w14:paraId="53E23DA1" w14:textId="77777777" w:rsidR="00672193" w:rsidRPr="004E7B57" w:rsidRDefault="00672193" w:rsidP="00672193">
      <w:r w:rsidRPr="004E7B57">
        <w:t>Ο/Η ∆ηλ. (Υπογραφή)</w:t>
      </w:r>
    </w:p>
    <w:p w14:paraId="5701A1C7" w14:textId="77777777" w:rsidR="00123882" w:rsidRPr="004E7B57" w:rsidRDefault="00123882" w:rsidP="00E76414"/>
    <w:p w14:paraId="22B70562" w14:textId="77777777" w:rsidR="00F0739B" w:rsidRDefault="00F0739B" w:rsidP="00835663"/>
    <w:p w14:paraId="21FB9F36" w14:textId="77777777" w:rsidR="00F0739B" w:rsidRDefault="00F0739B" w:rsidP="00835663"/>
    <w:bookmarkEnd w:id="98"/>
    <w:p w14:paraId="762427EE" w14:textId="797330B0" w:rsidR="00370D27" w:rsidRPr="00C23138" w:rsidRDefault="00370D27" w:rsidP="00326765"/>
    <w:sectPr w:rsidR="00370D27" w:rsidRPr="00C23138" w:rsidSect="003212AB">
      <w:pgSz w:w="11906" w:h="16838" w:code="9"/>
      <w:pgMar w:top="720" w:right="720" w:bottom="720" w:left="720" w:header="6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A6F2" w14:textId="77777777" w:rsidR="00D80E33" w:rsidRDefault="00D80E33" w:rsidP="00E76414">
      <w:r>
        <w:separator/>
      </w:r>
    </w:p>
  </w:endnote>
  <w:endnote w:type="continuationSeparator" w:id="0">
    <w:p w14:paraId="521BC013" w14:textId="77777777" w:rsidR="00D80E33" w:rsidRDefault="00D80E33" w:rsidP="00E7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MT">
    <w:altName w:val="Arial"/>
    <w:charset w:val="01"/>
    <w:family w:val="swiss"/>
    <w:pitch w:val="variable"/>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401A" w14:textId="405200DF" w:rsidR="00C72D5D" w:rsidRPr="00C72D5D" w:rsidRDefault="00C72D5D" w:rsidP="00C72D5D">
    <w:pPr>
      <w:pStyle w:val="a6"/>
      <w:jc w:val="right"/>
      <w:rPr>
        <w:sz w:val="18"/>
        <w:szCs w:val="18"/>
      </w:rPr>
    </w:pPr>
    <w:r w:rsidRPr="00C72D5D">
      <w:rPr>
        <w:sz w:val="18"/>
        <w:szCs w:val="18"/>
      </w:rPr>
      <w:fldChar w:fldCharType="begin"/>
    </w:r>
    <w:r w:rsidRPr="00C72D5D">
      <w:rPr>
        <w:sz w:val="18"/>
        <w:szCs w:val="18"/>
      </w:rPr>
      <w:instrText>PAGE   \* MERGEFORMAT</w:instrText>
    </w:r>
    <w:r w:rsidRPr="00C72D5D">
      <w:rPr>
        <w:sz w:val="18"/>
        <w:szCs w:val="18"/>
      </w:rPr>
      <w:fldChar w:fldCharType="separate"/>
    </w:r>
    <w:r w:rsidRPr="00C72D5D">
      <w:rPr>
        <w:sz w:val="18"/>
        <w:szCs w:val="18"/>
      </w:rPr>
      <w:t>1</w:t>
    </w:r>
    <w:r w:rsidRPr="00C72D5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EED6" w14:textId="6F1B24B3" w:rsidR="00D10582" w:rsidRPr="00C72D5D" w:rsidRDefault="00C72D5D" w:rsidP="00C72D5D">
    <w:pPr>
      <w:pStyle w:val="a3"/>
      <w:jc w:val="right"/>
      <w:rPr>
        <w:sz w:val="18"/>
        <w:szCs w:val="18"/>
      </w:rPr>
    </w:pPr>
    <w:r w:rsidRPr="00C72D5D">
      <w:rPr>
        <w:sz w:val="18"/>
        <w:szCs w:val="18"/>
      </w:rPr>
      <w:fldChar w:fldCharType="begin"/>
    </w:r>
    <w:r w:rsidRPr="00C72D5D">
      <w:rPr>
        <w:sz w:val="18"/>
        <w:szCs w:val="18"/>
      </w:rPr>
      <w:instrText>PAGE   \* MERGEFORMAT</w:instrText>
    </w:r>
    <w:r w:rsidRPr="00C72D5D">
      <w:rPr>
        <w:sz w:val="18"/>
        <w:szCs w:val="18"/>
      </w:rPr>
      <w:fldChar w:fldCharType="separate"/>
    </w:r>
    <w:r w:rsidRPr="00C72D5D">
      <w:rPr>
        <w:sz w:val="18"/>
        <w:szCs w:val="18"/>
      </w:rPr>
      <w:t>1</w:t>
    </w:r>
    <w:r w:rsidRPr="00C72D5D">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A4F4" w14:textId="77777777" w:rsidR="00A54612" w:rsidRDefault="00A5461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17A1" w14:textId="77777777" w:rsidR="00A54612" w:rsidRDefault="00A54612">
    <w:pPr>
      <w:pStyle w:val="a6"/>
      <w:jc w:val="right"/>
    </w:pPr>
  </w:p>
  <w:p w14:paraId="19C27B9E" w14:textId="77777777" w:rsidR="00A54612" w:rsidRDefault="00A54612">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4A50" w14:textId="02CE45A3" w:rsidR="00A54612" w:rsidRPr="00C72D5D" w:rsidRDefault="00C72D5D" w:rsidP="00C72D5D">
    <w:pPr>
      <w:pStyle w:val="a6"/>
      <w:jc w:val="right"/>
      <w:rPr>
        <w:sz w:val="18"/>
        <w:szCs w:val="18"/>
      </w:rPr>
    </w:pPr>
    <w:r w:rsidRPr="00C72D5D">
      <w:rPr>
        <w:sz w:val="18"/>
        <w:szCs w:val="18"/>
      </w:rPr>
      <w:fldChar w:fldCharType="begin"/>
    </w:r>
    <w:r w:rsidRPr="00C72D5D">
      <w:rPr>
        <w:sz w:val="18"/>
        <w:szCs w:val="18"/>
      </w:rPr>
      <w:instrText>PAGE   \* MERGEFORMAT</w:instrText>
    </w:r>
    <w:r w:rsidRPr="00C72D5D">
      <w:rPr>
        <w:sz w:val="18"/>
        <w:szCs w:val="18"/>
      </w:rPr>
      <w:fldChar w:fldCharType="separate"/>
    </w:r>
    <w:r w:rsidRPr="00C72D5D">
      <w:rPr>
        <w:sz w:val="18"/>
        <w:szCs w:val="18"/>
      </w:rPr>
      <w:t>1</w:t>
    </w:r>
    <w:r w:rsidRPr="00C72D5D">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069460"/>
      <w:docPartObj>
        <w:docPartGallery w:val="Page Numbers (Bottom of Page)"/>
        <w:docPartUnique/>
      </w:docPartObj>
    </w:sdtPr>
    <w:sdtEndPr>
      <w:rPr>
        <w:noProof/>
      </w:rPr>
    </w:sdtEndPr>
    <w:sdtContent>
      <w:p w14:paraId="0F251422" w14:textId="51CCB48A" w:rsidR="00A54612" w:rsidRDefault="00C72D5D">
        <w:pPr>
          <w:pStyle w:val="a6"/>
          <w:jc w:val="right"/>
        </w:pPr>
        <w:r w:rsidRPr="00C72D5D">
          <w:rPr>
            <w:sz w:val="18"/>
            <w:szCs w:val="18"/>
          </w:rPr>
          <w:fldChar w:fldCharType="begin"/>
        </w:r>
        <w:r w:rsidRPr="00C72D5D">
          <w:rPr>
            <w:sz w:val="18"/>
            <w:szCs w:val="18"/>
          </w:rPr>
          <w:instrText>PAGE   \* MERGEFORMAT</w:instrText>
        </w:r>
        <w:r w:rsidRPr="00C72D5D">
          <w:rPr>
            <w:sz w:val="18"/>
            <w:szCs w:val="18"/>
          </w:rPr>
          <w:fldChar w:fldCharType="separate"/>
        </w:r>
        <w:r w:rsidRPr="00C72D5D">
          <w:rPr>
            <w:sz w:val="18"/>
            <w:szCs w:val="18"/>
          </w:rPr>
          <w:t>1</w:t>
        </w:r>
        <w:r w:rsidRPr="00C72D5D">
          <w:rPr>
            <w:sz w:val="18"/>
            <w:szCs w:val="18"/>
          </w:rPr>
          <w:fldChar w:fldCharType="end"/>
        </w:r>
      </w:p>
    </w:sdtContent>
  </w:sdt>
  <w:p w14:paraId="1C820989" w14:textId="77777777" w:rsidR="00A54612" w:rsidRDefault="00A54612">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DC35" w14:textId="68883BC6" w:rsidR="006821F5" w:rsidRPr="00C72D5D" w:rsidRDefault="00C72D5D" w:rsidP="00C72D5D">
    <w:pPr>
      <w:pStyle w:val="a6"/>
      <w:jc w:val="right"/>
      <w:rPr>
        <w:sz w:val="18"/>
        <w:szCs w:val="18"/>
      </w:rPr>
    </w:pPr>
    <w:r w:rsidRPr="00C72D5D">
      <w:rPr>
        <w:sz w:val="18"/>
        <w:szCs w:val="18"/>
      </w:rPr>
      <w:fldChar w:fldCharType="begin"/>
    </w:r>
    <w:r w:rsidRPr="00C72D5D">
      <w:rPr>
        <w:sz w:val="18"/>
        <w:szCs w:val="18"/>
      </w:rPr>
      <w:instrText>PAGE   \* MERGEFORMAT</w:instrText>
    </w:r>
    <w:r w:rsidRPr="00C72D5D">
      <w:rPr>
        <w:sz w:val="18"/>
        <w:szCs w:val="18"/>
      </w:rPr>
      <w:fldChar w:fldCharType="separate"/>
    </w:r>
    <w:r w:rsidRPr="00C72D5D">
      <w:rPr>
        <w:sz w:val="18"/>
        <w:szCs w:val="18"/>
      </w:rPr>
      <w:t>1</w:t>
    </w:r>
    <w:r w:rsidRPr="00C72D5D">
      <w:rPr>
        <w:sz w:val="18"/>
        <w:szCs w:val="18"/>
      </w:rPr>
      <w:fldChar w:fldCharType="end"/>
    </w:r>
  </w:p>
  <w:p w14:paraId="359DCB72" w14:textId="77777777" w:rsidR="003212AB" w:rsidRDefault="003212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F619" w14:textId="77777777" w:rsidR="00D80E33" w:rsidRDefault="00D80E33" w:rsidP="00E76414">
      <w:r>
        <w:separator/>
      </w:r>
    </w:p>
  </w:footnote>
  <w:footnote w:type="continuationSeparator" w:id="0">
    <w:p w14:paraId="432E3DA1" w14:textId="77777777" w:rsidR="00D80E33" w:rsidRDefault="00D80E33" w:rsidP="00E76414">
      <w:r>
        <w:continuationSeparator/>
      </w:r>
    </w:p>
  </w:footnote>
  <w:footnote w:id="1">
    <w:p w14:paraId="7E018764" w14:textId="0E22E163" w:rsidR="00D10582" w:rsidRPr="00454873" w:rsidRDefault="00D10582" w:rsidP="00E76414">
      <w:pPr>
        <w:pStyle w:val="af1"/>
        <w:rPr>
          <w:sz w:val="18"/>
          <w:szCs w:val="18"/>
        </w:rPr>
      </w:pPr>
      <w:r w:rsidRPr="00454873">
        <w:rPr>
          <w:rStyle w:val="af0"/>
          <w:sz w:val="18"/>
          <w:szCs w:val="18"/>
        </w:rPr>
        <w:footnoteRef/>
      </w:r>
      <w:r w:rsidRPr="00454873">
        <w:rPr>
          <w:sz w:val="18"/>
          <w:szCs w:val="18"/>
        </w:rPr>
        <w:t xml:space="preserve"> «</w:t>
      </w:r>
      <w:proofErr w:type="spellStart"/>
      <w:r w:rsidRPr="00454873">
        <w:rPr>
          <w:sz w:val="18"/>
          <w:szCs w:val="18"/>
        </w:rPr>
        <w:t>Συνδεδεµένες</w:t>
      </w:r>
      <w:proofErr w:type="spellEnd"/>
      <w:r w:rsidRPr="00454873">
        <w:rPr>
          <w:sz w:val="18"/>
          <w:szCs w:val="18"/>
        </w:rPr>
        <w:t xml:space="preserve"> επιχειρήσεις» είναι οι επιχειρήσεις που διατηρούν µ</w:t>
      </w:r>
      <w:proofErr w:type="spellStart"/>
      <w:r w:rsidRPr="00454873">
        <w:rPr>
          <w:sz w:val="18"/>
          <w:szCs w:val="18"/>
        </w:rPr>
        <w:t>εταξύ</w:t>
      </w:r>
      <w:proofErr w:type="spellEnd"/>
      <w:r w:rsidRPr="00454873">
        <w:rPr>
          <w:sz w:val="18"/>
          <w:szCs w:val="18"/>
        </w:rPr>
        <w:t xml:space="preserve"> τους µ</w:t>
      </w:r>
      <w:proofErr w:type="spellStart"/>
      <w:r w:rsidRPr="00454873">
        <w:rPr>
          <w:sz w:val="18"/>
          <w:szCs w:val="18"/>
        </w:rPr>
        <w:t>ια</w:t>
      </w:r>
      <w:proofErr w:type="spellEnd"/>
      <w:r w:rsidRPr="00454873">
        <w:rPr>
          <w:sz w:val="18"/>
          <w:szCs w:val="18"/>
        </w:rPr>
        <w:t xml:space="preserve"> από τις ακόλουθες σχέσεις: α) µ</w:t>
      </w:r>
      <w:proofErr w:type="spellStart"/>
      <w:r w:rsidRPr="00454873">
        <w:rPr>
          <w:sz w:val="18"/>
          <w:szCs w:val="18"/>
        </w:rPr>
        <w:t>ια</w:t>
      </w:r>
      <w:proofErr w:type="spellEnd"/>
      <w:r w:rsidRPr="00454873">
        <w:rPr>
          <w:sz w:val="18"/>
          <w:szCs w:val="18"/>
        </w:rPr>
        <w:t xml:space="preserve"> επιχείρηση κατέχει την πλειοψηφία των </w:t>
      </w:r>
      <w:proofErr w:type="spellStart"/>
      <w:r w:rsidRPr="00454873">
        <w:rPr>
          <w:sz w:val="18"/>
          <w:szCs w:val="18"/>
        </w:rPr>
        <w:t>δικαιωµάτων</w:t>
      </w:r>
      <w:proofErr w:type="spellEnd"/>
      <w:r w:rsidRPr="00454873">
        <w:rPr>
          <w:sz w:val="18"/>
          <w:szCs w:val="18"/>
        </w:rPr>
        <w:t xml:space="preserve"> ψήφου των µ</w:t>
      </w:r>
      <w:proofErr w:type="spellStart"/>
      <w:r w:rsidRPr="00454873">
        <w:rPr>
          <w:sz w:val="18"/>
          <w:szCs w:val="18"/>
        </w:rPr>
        <w:t>ετόχων</w:t>
      </w:r>
      <w:proofErr w:type="spellEnd"/>
      <w:r w:rsidRPr="00454873">
        <w:rPr>
          <w:sz w:val="18"/>
          <w:szCs w:val="18"/>
        </w:rPr>
        <w:t xml:space="preserve"> ή των εταίρων άλλης επιχείρησης· β) µ</w:t>
      </w:r>
      <w:proofErr w:type="spellStart"/>
      <w:r w:rsidRPr="00454873">
        <w:rPr>
          <w:sz w:val="18"/>
          <w:szCs w:val="18"/>
        </w:rPr>
        <w:t>ια</w:t>
      </w:r>
      <w:proofErr w:type="spellEnd"/>
      <w:r w:rsidRPr="00454873">
        <w:rPr>
          <w:sz w:val="18"/>
          <w:szCs w:val="18"/>
        </w:rPr>
        <w:t xml:space="preserve"> επιχείρηση έχει το </w:t>
      </w:r>
      <w:proofErr w:type="spellStart"/>
      <w:r w:rsidRPr="00454873">
        <w:rPr>
          <w:sz w:val="18"/>
          <w:szCs w:val="18"/>
        </w:rPr>
        <w:t>δικαίωµα</w:t>
      </w:r>
      <w:proofErr w:type="spellEnd"/>
      <w:r w:rsidRPr="00454873">
        <w:rPr>
          <w:sz w:val="18"/>
          <w:szCs w:val="18"/>
        </w:rPr>
        <w:t xml:space="preserve"> να διορίζει ή να παύει την πλειοψηφία των µελών του διοικητικού, διαχειριστικού ή εποπτικού οργάνου άλλης επιχείρησης· γ) µ</w:t>
      </w:r>
      <w:proofErr w:type="spellStart"/>
      <w:r w:rsidRPr="00454873">
        <w:rPr>
          <w:sz w:val="18"/>
          <w:szCs w:val="18"/>
        </w:rPr>
        <w:t>ια</w:t>
      </w:r>
      <w:proofErr w:type="spellEnd"/>
      <w:r w:rsidRPr="00454873">
        <w:rPr>
          <w:sz w:val="18"/>
          <w:szCs w:val="18"/>
        </w:rPr>
        <w:t xml:space="preserve"> επιχείρηση έχει το </w:t>
      </w:r>
      <w:proofErr w:type="spellStart"/>
      <w:r w:rsidRPr="00454873">
        <w:rPr>
          <w:sz w:val="18"/>
          <w:szCs w:val="18"/>
        </w:rPr>
        <w:t>δικαίωµα</w:t>
      </w:r>
      <w:proofErr w:type="spellEnd"/>
      <w:r w:rsidRPr="00454873">
        <w:rPr>
          <w:sz w:val="18"/>
          <w:szCs w:val="18"/>
        </w:rPr>
        <w:t xml:space="preserve"> να ασκήσει κυριαρχική επιρροή σε άλλη επιχείρηση βάσει </w:t>
      </w:r>
      <w:proofErr w:type="spellStart"/>
      <w:r w:rsidRPr="00454873">
        <w:rPr>
          <w:sz w:val="18"/>
          <w:szCs w:val="18"/>
        </w:rPr>
        <w:t>σύµβασης</w:t>
      </w:r>
      <w:proofErr w:type="spellEnd"/>
      <w:r w:rsidRPr="00454873">
        <w:rPr>
          <w:sz w:val="18"/>
          <w:szCs w:val="18"/>
        </w:rPr>
        <w:t xml:space="preserve"> που έχει συνάψει µε αυτήν ή </w:t>
      </w:r>
      <w:proofErr w:type="spellStart"/>
      <w:r w:rsidRPr="00454873">
        <w:rPr>
          <w:sz w:val="18"/>
          <w:szCs w:val="18"/>
        </w:rPr>
        <w:t>δυνάµει</w:t>
      </w:r>
      <w:proofErr w:type="spellEnd"/>
      <w:r w:rsidRPr="00454873">
        <w:rPr>
          <w:sz w:val="18"/>
          <w:szCs w:val="18"/>
        </w:rPr>
        <w:t xml:space="preserve"> ρήτρας του καταστατικού της τελευταίας· δ) µ</w:t>
      </w:r>
      <w:proofErr w:type="spellStart"/>
      <w:r w:rsidRPr="00454873">
        <w:rPr>
          <w:sz w:val="18"/>
          <w:szCs w:val="18"/>
        </w:rPr>
        <w:t>ια</w:t>
      </w:r>
      <w:proofErr w:type="spellEnd"/>
      <w:r w:rsidRPr="00454873">
        <w:rPr>
          <w:sz w:val="18"/>
          <w:szCs w:val="18"/>
        </w:rPr>
        <w:t xml:space="preserve"> επιχείρηση που είναι µ</w:t>
      </w:r>
      <w:proofErr w:type="spellStart"/>
      <w:r w:rsidRPr="00454873">
        <w:rPr>
          <w:sz w:val="18"/>
          <w:szCs w:val="18"/>
        </w:rPr>
        <w:t>έτοχος</w:t>
      </w:r>
      <w:proofErr w:type="spellEnd"/>
      <w:r w:rsidRPr="00454873">
        <w:rPr>
          <w:sz w:val="18"/>
          <w:szCs w:val="18"/>
        </w:rPr>
        <w:t xml:space="preserve"> ή εταίρος άλλης επιχείρησης ελέγχει µ</w:t>
      </w:r>
      <w:proofErr w:type="spellStart"/>
      <w:r w:rsidRPr="00454873">
        <w:rPr>
          <w:sz w:val="18"/>
          <w:szCs w:val="18"/>
        </w:rPr>
        <w:t>όνη</w:t>
      </w:r>
      <w:proofErr w:type="spellEnd"/>
      <w:r w:rsidRPr="00454873">
        <w:rPr>
          <w:sz w:val="18"/>
          <w:szCs w:val="18"/>
        </w:rPr>
        <w:t xml:space="preserve"> της, βάσει </w:t>
      </w:r>
      <w:proofErr w:type="spellStart"/>
      <w:r w:rsidRPr="00454873">
        <w:rPr>
          <w:sz w:val="18"/>
          <w:szCs w:val="18"/>
        </w:rPr>
        <w:t>συµφωνίας</w:t>
      </w:r>
      <w:proofErr w:type="spellEnd"/>
      <w:r w:rsidRPr="00454873">
        <w:rPr>
          <w:sz w:val="18"/>
          <w:szCs w:val="18"/>
        </w:rPr>
        <w:t xml:space="preserve"> που έχει συνάψει µε άλλους µ</w:t>
      </w:r>
      <w:proofErr w:type="spellStart"/>
      <w:r w:rsidRPr="00454873">
        <w:rPr>
          <w:sz w:val="18"/>
          <w:szCs w:val="18"/>
        </w:rPr>
        <w:t>ετόχους</w:t>
      </w:r>
      <w:proofErr w:type="spellEnd"/>
      <w:r w:rsidRPr="00454873">
        <w:rPr>
          <w:sz w:val="18"/>
          <w:szCs w:val="18"/>
        </w:rPr>
        <w:t xml:space="preserve"> ή εταίρους της εν λόγω επιχείρησης, την πλειοψηφία των </w:t>
      </w:r>
      <w:proofErr w:type="spellStart"/>
      <w:r w:rsidRPr="00454873">
        <w:rPr>
          <w:sz w:val="18"/>
          <w:szCs w:val="18"/>
        </w:rPr>
        <w:t>δικαιωµάτων</w:t>
      </w:r>
      <w:proofErr w:type="spellEnd"/>
      <w:r w:rsidRPr="00454873">
        <w:rPr>
          <w:sz w:val="18"/>
          <w:szCs w:val="18"/>
        </w:rPr>
        <w:t xml:space="preserve"> ψήφου των µ</w:t>
      </w:r>
      <w:proofErr w:type="spellStart"/>
      <w:r w:rsidRPr="00454873">
        <w:rPr>
          <w:sz w:val="18"/>
          <w:szCs w:val="18"/>
        </w:rPr>
        <w:t>ετόχων</w:t>
      </w:r>
      <w:proofErr w:type="spellEnd"/>
      <w:r w:rsidRPr="00454873">
        <w:rPr>
          <w:sz w:val="18"/>
          <w:szCs w:val="18"/>
        </w:rPr>
        <w:t xml:space="preserve"> ή των εταίρων αυτής της επιχείρησης. </w:t>
      </w:r>
      <w:proofErr w:type="spellStart"/>
      <w:r w:rsidRPr="00454873">
        <w:rPr>
          <w:sz w:val="18"/>
          <w:szCs w:val="18"/>
        </w:rPr>
        <w:t>Τεκµαίρεται</w:t>
      </w:r>
      <w:proofErr w:type="spellEnd"/>
      <w:r w:rsidRPr="00454873">
        <w:rPr>
          <w:sz w:val="18"/>
          <w:szCs w:val="18"/>
        </w:rPr>
        <w:t xml:space="preserve"> ότι δεν υπάρχει κυρίαρχη επιρροή, εφόσον οι επενδυτές που αναφέρονται στην παράγραφο 2 δεύτερο εδάφιο </w:t>
      </w:r>
      <w:r w:rsidR="00D67203" w:rsidRPr="00454873">
        <w:rPr>
          <w:sz w:val="18"/>
          <w:szCs w:val="18"/>
        </w:rPr>
        <w:t xml:space="preserve">[του άρθρου 3 της Σύστασης 2003/361/ΕΚ της Επιτροπής] </w:t>
      </w:r>
      <w:r w:rsidRPr="00454873">
        <w:rPr>
          <w:sz w:val="18"/>
          <w:szCs w:val="18"/>
        </w:rPr>
        <w:t xml:space="preserve">δεν υπεισέρχονται </w:t>
      </w:r>
      <w:proofErr w:type="spellStart"/>
      <w:r w:rsidRPr="00454873">
        <w:rPr>
          <w:sz w:val="18"/>
          <w:szCs w:val="18"/>
        </w:rPr>
        <w:t>άµεσα</w:t>
      </w:r>
      <w:proofErr w:type="spellEnd"/>
      <w:r w:rsidRPr="00454873">
        <w:rPr>
          <w:sz w:val="18"/>
          <w:szCs w:val="18"/>
        </w:rPr>
        <w:t xml:space="preserve"> ή έµµ</w:t>
      </w:r>
      <w:proofErr w:type="spellStart"/>
      <w:r w:rsidRPr="00454873">
        <w:rPr>
          <w:sz w:val="18"/>
          <w:szCs w:val="18"/>
        </w:rPr>
        <w:t>εσα</w:t>
      </w:r>
      <w:proofErr w:type="spellEnd"/>
      <w:r w:rsidRPr="00454873">
        <w:rPr>
          <w:sz w:val="18"/>
          <w:szCs w:val="18"/>
        </w:rPr>
        <w:t xml:space="preserve"> στη διαχείριση της </w:t>
      </w:r>
      <w:proofErr w:type="spellStart"/>
      <w:r w:rsidRPr="00454873">
        <w:rPr>
          <w:sz w:val="18"/>
          <w:szCs w:val="18"/>
        </w:rPr>
        <w:t>εξεταζόµενης</w:t>
      </w:r>
      <w:proofErr w:type="spellEnd"/>
      <w:r w:rsidRPr="00454873">
        <w:rPr>
          <w:sz w:val="18"/>
          <w:szCs w:val="18"/>
        </w:rPr>
        <w:t xml:space="preserve"> επιχείρησης, µε την επιφύλαξη των </w:t>
      </w:r>
      <w:proofErr w:type="spellStart"/>
      <w:r w:rsidRPr="00454873">
        <w:rPr>
          <w:sz w:val="18"/>
          <w:szCs w:val="18"/>
        </w:rPr>
        <w:t>δικαιωµάτων</w:t>
      </w:r>
      <w:proofErr w:type="spellEnd"/>
      <w:r w:rsidRPr="00454873">
        <w:rPr>
          <w:sz w:val="18"/>
          <w:szCs w:val="18"/>
        </w:rPr>
        <w:t xml:space="preserve"> που κατέχουν µε την ιδιότητά τους ως µ</w:t>
      </w:r>
      <w:proofErr w:type="spellStart"/>
      <w:r w:rsidRPr="00454873">
        <w:rPr>
          <w:sz w:val="18"/>
          <w:szCs w:val="18"/>
        </w:rPr>
        <w:t>ετόχων</w:t>
      </w:r>
      <w:proofErr w:type="spellEnd"/>
      <w:r w:rsidRPr="00454873">
        <w:rPr>
          <w:sz w:val="18"/>
          <w:szCs w:val="18"/>
        </w:rPr>
        <w:t xml:space="preserve"> ή εταίρων. </w:t>
      </w:r>
    </w:p>
    <w:p w14:paraId="1BB3F0D4" w14:textId="2F7BC92D" w:rsidR="00D10582" w:rsidRPr="00454873" w:rsidRDefault="00D10582" w:rsidP="00E76414">
      <w:pPr>
        <w:pStyle w:val="af1"/>
        <w:rPr>
          <w:sz w:val="18"/>
          <w:szCs w:val="18"/>
        </w:rPr>
      </w:pPr>
      <w:proofErr w:type="spellStart"/>
      <w:r w:rsidRPr="00454873">
        <w:rPr>
          <w:sz w:val="18"/>
          <w:szCs w:val="18"/>
        </w:rPr>
        <w:t>Συνδεδεµένες</w:t>
      </w:r>
      <w:proofErr w:type="spellEnd"/>
      <w:r w:rsidRPr="00454873">
        <w:rPr>
          <w:sz w:val="18"/>
          <w:szCs w:val="18"/>
        </w:rPr>
        <w:t xml:space="preserve"> θεωρούνται επίσης οι επιχειρήσεις που διατηρούν µ</w:t>
      </w:r>
      <w:proofErr w:type="spellStart"/>
      <w:r w:rsidRPr="00454873">
        <w:rPr>
          <w:sz w:val="18"/>
          <w:szCs w:val="18"/>
        </w:rPr>
        <w:t>ια</w:t>
      </w:r>
      <w:proofErr w:type="spellEnd"/>
      <w:r w:rsidRPr="00454873">
        <w:rPr>
          <w:sz w:val="18"/>
          <w:szCs w:val="18"/>
        </w:rPr>
        <w:t xml:space="preserve"> από τις σχέσεις που αναφέρονται στο πρώτο εδάφιο µέσω µ</w:t>
      </w:r>
      <w:proofErr w:type="spellStart"/>
      <w:r w:rsidRPr="00454873">
        <w:rPr>
          <w:sz w:val="18"/>
          <w:szCs w:val="18"/>
        </w:rPr>
        <w:t>ιας</w:t>
      </w:r>
      <w:proofErr w:type="spellEnd"/>
      <w:r w:rsidRPr="00454873">
        <w:rPr>
          <w:sz w:val="18"/>
          <w:szCs w:val="18"/>
        </w:rPr>
        <w:t xml:space="preserve"> ή περισσότερων άλλων επιχειρήσεων ή µε τους επενδυτές που αναφέρονται στην παράγραφο 2</w:t>
      </w:r>
      <w:r w:rsidR="00D67203" w:rsidRPr="00454873">
        <w:rPr>
          <w:sz w:val="18"/>
          <w:szCs w:val="18"/>
        </w:rPr>
        <w:t xml:space="preserve"> [του άρθρου 3 της Σύστασης 2003/361/ΕΚ της Επιτροπής]</w:t>
      </w:r>
      <w:r w:rsidRPr="00454873">
        <w:rPr>
          <w:sz w:val="18"/>
          <w:szCs w:val="18"/>
        </w:rPr>
        <w:t>.</w:t>
      </w:r>
    </w:p>
    <w:p w14:paraId="612AC543" w14:textId="77777777" w:rsidR="00D10582" w:rsidRPr="00454873" w:rsidRDefault="00D10582" w:rsidP="00E76414">
      <w:pPr>
        <w:pStyle w:val="af1"/>
        <w:rPr>
          <w:sz w:val="18"/>
          <w:szCs w:val="18"/>
        </w:rPr>
      </w:pPr>
      <w:r w:rsidRPr="00454873">
        <w:rPr>
          <w:sz w:val="18"/>
          <w:szCs w:val="18"/>
        </w:rPr>
        <w:t>Οι επιχειρήσεις που διατηρούν µ</w:t>
      </w:r>
      <w:proofErr w:type="spellStart"/>
      <w:r w:rsidRPr="00454873">
        <w:rPr>
          <w:sz w:val="18"/>
          <w:szCs w:val="18"/>
        </w:rPr>
        <w:t>ια</w:t>
      </w:r>
      <w:proofErr w:type="spellEnd"/>
      <w:r w:rsidRPr="00454873">
        <w:rPr>
          <w:sz w:val="18"/>
          <w:szCs w:val="18"/>
        </w:rPr>
        <w:t xml:space="preserve"> από τις εν λόγω σχέσεις µέσω ενός φυσικού προσώπου ή </w:t>
      </w:r>
      <w:proofErr w:type="spellStart"/>
      <w:r w:rsidRPr="00454873">
        <w:rPr>
          <w:sz w:val="18"/>
          <w:szCs w:val="18"/>
        </w:rPr>
        <w:t>οµάδας</w:t>
      </w:r>
      <w:proofErr w:type="spellEnd"/>
      <w:r w:rsidRPr="00454873">
        <w:rPr>
          <w:sz w:val="18"/>
          <w:szCs w:val="18"/>
        </w:rPr>
        <w:t xml:space="preserve"> φυσικών προσώπων που ενεργούν από κοινού θεωρούνται επίσης </w:t>
      </w:r>
      <w:proofErr w:type="spellStart"/>
      <w:r w:rsidRPr="00454873">
        <w:rPr>
          <w:sz w:val="18"/>
          <w:szCs w:val="18"/>
        </w:rPr>
        <w:t>συνδεδεµένες</w:t>
      </w:r>
      <w:proofErr w:type="spellEnd"/>
      <w:r w:rsidRPr="00454873">
        <w:rPr>
          <w:sz w:val="18"/>
          <w:szCs w:val="18"/>
        </w:rPr>
        <w:t xml:space="preserve"> επιχειρήσεις καθόσον ασκούν το σύνολο ή </w:t>
      </w:r>
      <w:proofErr w:type="spellStart"/>
      <w:r w:rsidRPr="00454873">
        <w:rPr>
          <w:sz w:val="18"/>
          <w:szCs w:val="18"/>
        </w:rPr>
        <w:t>τµήµα</w:t>
      </w:r>
      <w:proofErr w:type="spellEnd"/>
      <w:r w:rsidRPr="00454873">
        <w:rPr>
          <w:sz w:val="18"/>
          <w:szCs w:val="18"/>
        </w:rPr>
        <w:t xml:space="preserve"> των δραστηριοτήτων τους στην ίδια αγορά ή σε </w:t>
      </w:r>
      <w:proofErr w:type="spellStart"/>
      <w:r w:rsidRPr="00454873">
        <w:rPr>
          <w:sz w:val="18"/>
          <w:szCs w:val="18"/>
        </w:rPr>
        <w:t>όµορες</w:t>
      </w:r>
      <w:proofErr w:type="spellEnd"/>
      <w:r w:rsidRPr="00454873">
        <w:rPr>
          <w:sz w:val="18"/>
          <w:szCs w:val="18"/>
        </w:rPr>
        <w:t xml:space="preserve"> αγορές.</w:t>
      </w:r>
    </w:p>
    <w:p w14:paraId="0F9A57DC" w14:textId="3C6B494C" w:rsidR="00D10582" w:rsidRDefault="00D10582" w:rsidP="00E76414">
      <w:pPr>
        <w:pStyle w:val="af1"/>
      </w:pPr>
      <w:r w:rsidRPr="00454873">
        <w:rPr>
          <w:sz w:val="18"/>
          <w:szCs w:val="18"/>
        </w:rPr>
        <w:t xml:space="preserve"> «</w:t>
      </w:r>
      <w:proofErr w:type="spellStart"/>
      <w:r w:rsidRPr="00454873">
        <w:rPr>
          <w:sz w:val="18"/>
          <w:szCs w:val="18"/>
        </w:rPr>
        <w:t>Συνεργαζόµενες</w:t>
      </w:r>
      <w:proofErr w:type="spellEnd"/>
      <w:r w:rsidRPr="00454873">
        <w:rPr>
          <w:sz w:val="18"/>
          <w:szCs w:val="18"/>
        </w:rPr>
        <w:t xml:space="preserve"> επιχειρήσεις» είναι όλες οι επιχειρήσεις που δεν χαρακτηρίζονται ως </w:t>
      </w:r>
      <w:proofErr w:type="spellStart"/>
      <w:r w:rsidRPr="00454873">
        <w:rPr>
          <w:sz w:val="18"/>
          <w:szCs w:val="18"/>
        </w:rPr>
        <w:t>συνδεδεµένες</w:t>
      </w:r>
      <w:proofErr w:type="spellEnd"/>
      <w:r w:rsidRPr="00454873">
        <w:rPr>
          <w:sz w:val="18"/>
          <w:szCs w:val="18"/>
        </w:rPr>
        <w:t xml:space="preserve"> κατά την έννοια της παραγράφου 3 </w:t>
      </w:r>
      <w:r w:rsidR="00D67203" w:rsidRPr="00454873">
        <w:rPr>
          <w:sz w:val="18"/>
          <w:szCs w:val="18"/>
        </w:rPr>
        <w:t xml:space="preserve">[του άρθρου 3 της Σύστασης 2003/361/ΕΚ της Επιτροπής] </w:t>
      </w:r>
      <w:r w:rsidRPr="00454873">
        <w:rPr>
          <w:sz w:val="18"/>
          <w:szCs w:val="18"/>
        </w:rPr>
        <w:t>και µ</w:t>
      </w:r>
      <w:proofErr w:type="spellStart"/>
      <w:r w:rsidRPr="00454873">
        <w:rPr>
          <w:sz w:val="18"/>
          <w:szCs w:val="18"/>
        </w:rPr>
        <w:t>εταξύ</w:t>
      </w:r>
      <w:proofErr w:type="spellEnd"/>
      <w:r w:rsidRPr="00454873">
        <w:rPr>
          <w:sz w:val="18"/>
          <w:szCs w:val="18"/>
        </w:rPr>
        <w:t xml:space="preserve"> των οποίων υπάρχει η ακόλουθη σχέση: µ</w:t>
      </w:r>
      <w:proofErr w:type="spellStart"/>
      <w:r w:rsidRPr="00454873">
        <w:rPr>
          <w:sz w:val="18"/>
          <w:szCs w:val="18"/>
        </w:rPr>
        <w:t>ια</w:t>
      </w:r>
      <w:proofErr w:type="spellEnd"/>
      <w:r w:rsidRPr="00454873">
        <w:rPr>
          <w:sz w:val="18"/>
          <w:szCs w:val="18"/>
        </w:rPr>
        <w:t xml:space="preserve"> επιχείρηση (</w:t>
      </w:r>
      <w:proofErr w:type="spellStart"/>
      <w:r w:rsidRPr="00454873">
        <w:rPr>
          <w:sz w:val="18"/>
          <w:szCs w:val="18"/>
        </w:rPr>
        <w:t>ανάντη</w:t>
      </w:r>
      <w:proofErr w:type="spellEnd"/>
      <w:r w:rsidRPr="00454873">
        <w:rPr>
          <w:sz w:val="18"/>
          <w:szCs w:val="18"/>
        </w:rPr>
        <w:t xml:space="preserve"> επιχείρηση) κατέχει, η ίδια ή από κοινού µε µία ή περισσότερες </w:t>
      </w:r>
      <w:proofErr w:type="spellStart"/>
      <w:r w:rsidRPr="00454873">
        <w:rPr>
          <w:sz w:val="18"/>
          <w:szCs w:val="18"/>
        </w:rPr>
        <w:t>συνδεδεµένες</w:t>
      </w:r>
      <w:proofErr w:type="spellEnd"/>
      <w:r w:rsidRPr="00454873">
        <w:rPr>
          <w:sz w:val="18"/>
          <w:szCs w:val="18"/>
        </w:rPr>
        <w:t xml:space="preserve"> επιχειρήσεις κατά την έννοια της παραγράφου 3, το 25 % ή περισσότερο του κεφαλαίου ή των </w:t>
      </w:r>
      <w:proofErr w:type="spellStart"/>
      <w:r w:rsidRPr="00454873">
        <w:rPr>
          <w:sz w:val="18"/>
          <w:szCs w:val="18"/>
        </w:rPr>
        <w:t>δικαιωµάτων</w:t>
      </w:r>
      <w:proofErr w:type="spellEnd"/>
      <w:r w:rsidRPr="00454873">
        <w:rPr>
          <w:sz w:val="18"/>
          <w:szCs w:val="18"/>
        </w:rPr>
        <w:t xml:space="preserve"> ψήφου µ</w:t>
      </w:r>
      <w:proofErr w:type="spellStart"/>
      <w:r w:rsidRPr="00454873">
        <w:rPr>
          <w:sz w:val="18"/>
          <w:szCs w:val="18"/>
        </w:rPr>
        <w:t>ιας</w:t>
      </w:r>
      <w:proofErr w:type="spellEnd"/>
      <w:r w:rsidRPr="00454873">
        <w:rPr>
          <w:sz w:val="18"/>
          <w:szCs w:val="18"/>
        </w:rPr>
        <w:t xml:space="preserve"> άλλης επιχείρησης (</w:t>
      </w:r>
      <w:proofErr w:type="spellStart"/>
      <w:r w:rsidRPr="00454873">
        <w:rPr>
          <w:sz w:val="18"/>
          <w:szCs w:val="18"/>
        </w:rPr>
        <w:t>κατάντη</w:t>
      </w:r>
      <w:proofErr w:type="spellEnd"/>
      <w:r w:rsidRPr="00454873">
        <w:rPr>
          <w:sz w:val="18"/>
          <w:szCs w:val="18"/>
        </w:rPr>
        <w:t xml:space="preserve"> επιχείρηση). </w:t>
      </w:r>
      <w:proofErr w:type="spellStart"/>
      <w:r w:rsidRPr="00454873">
        <w:rPr>
          <w:sz w:val="18"/>
          <w:szCs w:val="18"/>
        </w:rPr>
        <w:t>Ωστόσο</w:t>
      </w:r>
      <w:proofErr w:type="spellEnd"/>
      <w:r w:rsidRPr="00454873">
        <w:rPr>
          <w:sz w:val="18"/>
          <w:szCs w:val="18"/>
        </w:rPr>
        <w:t>, µ</w:t>
      </w:r>
      <w:proofErr w:type="spellStart"/>
      <w:r w:rsidRPr="00454873">
        <w:rPr>
          <w:sz w:val="18"/>
          <w:szCs w:val="18"/>
        </w:rPr>
        <w:t>ια</w:t>
      </w:r>
      <w:proofErr w:type="spellEnd"/>
      <w:r w:rsidRPr="00454873">
        <w:rPr>
          <w:sz w:val="18"/>
          <w:szCs w:val="18"/>
        </w:rPr>
        <w:t xml:space="preserve"> επιχείρηση µ</w:t>
      </w:r>
      <w:proofErr w:type="spellStart"/>
      <w:r w:rsidRPr="00454873">
        <w:rPr>
          <w:sz w:val="18"/>
          <w:szCs w:val="18"/>
        </w:rPr>
        <w:t>πορεί</w:t>
      </w:r>
      <w:proofErr w:type="spellEnd"/>
      <w:r w:rsidRPr="00454873">
        <w:rPr>
          <w:sz w:val="18"/>
          <w:szCs w:val="18"/>
        </w:rPr>
        <w:t xml:space="preserve"> να χαρακτηριστεί ως ανεξάρτητη, µη έχουσα δηλαδή </w:t>
      </w:r>
      <w:proofErr w:type="spellStart"/>
      <w:r w:rsidRPr="00454873">
        <w:rPr>
          <w:sz w:val="18"/>
          <w:szCs w:val="18"/>
        </w:rPr>
        <w:t>συνεργαζόµενες</w:t>
      </w:r>
      <w:proofErr w:type="spellEnd"/>
      <w:r w:rsidRPr="00454873">
        <w:rPr>
          <w:sz w:val="18"/>
          <w:szCs w:val="18"/>
        </w:rPr>
        <w:t xml:space="preserve"> επιχειρήσεις, </w:t>
      </w:r>
      <w:proofErr w:type="spellStart"/>
      <w:r w:rsidRPr="00454873">
        <w:rPr>
          <w:sz w:val="18"/>
          <w:szCs w:val="18"/>
        </w:rPr>
        <w:t>ακόµη</w:t>
      </w:r>
      <w:proofErr w:type="spellEnd"/>
      <w:r w:rsidRPr="00454873">
        <w:rPr>
          <w:sz w:val="18"/>
          <w:szCs w:val="18"/>
        </w:rPr>
        <w:t xml:space="preserve"> και εάν το όριο του 25 % καλύπτεται ή υπερκαλύπτεται, εφόσον το ποσοστό αυτό ελέγχεται από τις ακόλουθες κατηγορίες επενδυτών, και υπό την προϋπόθεση ότι </w:t>
      </w:r>
      <w:proofErr w:type="spellStart"/>
      <w:r w:rsidRPr="00454873">
        <w:rPr>
          <w:sz w:val="18"/>
          <w:szCs w:val="18"/>
        </w:rPr>
        <w:t>αυτοίδεν</w:t>
      </w:r>
      <w:proofErr w:type="spellEnd"/>
      <w:r w:rsidRPr="00454873">
        <w:rPr>
          <w:sz w:val="18"/>
          <w:szCs w:val="18"/>
        </w:rPr>
        <w:t xml:space="preserve"> είναι, µ</w:t>
      </w:r>
      <w:proofErr w:type="spellStart"/>
      <w:r w:rsidRPr="00454873">
        <w:rPr>
          <w:sz w:val="18"/>
          <w:szCs w:val="18"/>
        </w:rPr>
        <w:t>εµονωµένα</w:t>
      </w:r>
      <w:proofErr w:type="spellEnd"/>
      <w:r w:rsidRPr="00454873">
        <w:rPr>
          <w:sz w:val="18"/>
          <w:szCs w:val="18"/>
        </w:rPr>
        <w:t xml:space="preserve"> ή από κοινού, </w:t>
      </w:r>
      <w:proofErr w:type="spellStart"/>
      <w:r w:rsidRPr="00454873">
        <w:rPr>
          <w:sz w:val="18"/>
          <w:szCs w:val="18"/>
        </w:rPr>
        <w:t>συνδεδεµένοι</w:t>
      </w:r>
      <w:proofErr w:type="spellEnd"/>
      <w:r w:rsidRPr="00454873">
        <w:rPr>
          <w:sz w:val="18"/>
          <w:szCs w:val="18"/>
        </w:rPr>
        <w:t xml:space="preserve"> κατά την έννοια της παραγράφου 3 µε την οικεία επιχείρηση: α) </w:t>
      </w:r>
      <w:proofErr w:type="spellStart"/>
      <w:r w:rsidRPr="00454873">
        <w:rPr>
          <w:sz w:val="18"/>
          <w:szCs w:val="18"/>
        </w:rPr>
        <w:t>δηµόσιες</w:t>
      </w:r>
      <w:proofErr w:type="spellEnd"/>
      <w:r w:rsidRPr="00454873">
        <w:rPr>
          <w:sz w:val="18"/>
          <w:szCs w:val="18"/>
        </w:rPr>
        <w:t xml:space="preserve"> εταιρείες συµµ</w:t>
      </w:r>
      <w:proofErr w:type="spellStart"/>
      <w:r w:rsidRPr="00454873">
        <w:rPr>
          <w:sz w:val="18"/>
          <w:szCs w:val="18"/>
        </w:rPr>
        <w:t>ετοχών</w:t>
      </w:r>
      <w:proofErr w:type="spellEnd"/>
      <w:r w:rsidRPr="00454873">
        <w:rPr>
          <w:sz w:val="18"/>
          <w:szCs w:val="18"/>
        </w:rPr>
        <w:t xml:space="preserve">, εταιρείες </w:t>
      </w:r>
      <w:proofErr w:type="spellStart"/>
      <w:r w:rsidRPr="00454873">
        <w:rPr>
          <w:sz w:val="18"/>
          <w:szCs w:val="18"/>
        </w:rPr>
        <w:t>επιχειρηµατικού</w:t>
      </w:r>
      <w:proofErr w:type="spellEnd"/>
      <w:r w:rsidRPr="00454873">
        <w:rPr>
          <w:sz w:val="18"/>
          <w:szCs w:val="18"/>
        </w:rPr>
        <w:t xml:space="preserve"> κεφαλαίου, φυσικά πρόσωπα ή </w:t>
      </w:r>
      <w:proofErr w:type="spellStart"/>
      <w:r w:rsidRPr="00454873">
        <w:rPr>
          <w:sz w:val="18"/>
          <w:szCs w:val="18"/>
        </w:rPr>
        <w:t>οµάδες</w:t>
      </w:r>
      <w:proofErr w:type="spellEnd"/>
      <w:r w:rsidRPr="00454873">
        <w:rPr>
          <w:sz w:val="18"/>
          <w:szCs w:val="18"/>
        </w:rPr>
        <w:t xml:space="preserve"> φυσικών προσώπων που ασκούν </w:t>
      </w:r>
      <w:proofErr w:type="spellStart"/>
      <w:r w:rsidRPr="00454873">
        <w:rPr>
          <w:sz w:val="18"/>
          <w:szCs w:val="18"/>
        </w:rPr>
        <w:t>συστηµατικά</w:t>
      </w:r>
      <w:proofErr w:type="spellEnd"/>
      <w:r w:rsidRPr="00454873">
        <w:rPr>
          <w:sz w:val="18"/>
          <w:szCs w:val="18"/>
        </w:rPr>
        <w:t xml:space="preserve"> δραστηριότητες σε επενδύσεις </w:t>
      </w:r>
      <w:proofErr w:type="spellStart"/>
      <w:r w:rsidRPr="00454873">
        <w:rPr>
          <w:sz w:val="18"/>
          <w:szCs w:val="18"/>
        </w:rPr>
        <w:t>επιχειρηµατικού</w:t>
      </w:r>
      <w:proofErr w:type="spellEnd"/>
      <w:r w:rsidRPr="00454873">
        <w:rPr>
          <w:sz w:val="18"/>
          <w:szCs w:val="18"/>
        </w:rPr>
        <w:t xml:space="preserve"> κινδύνου</w:t>
      </w:r>
      <w:r w:rsidRPr="00E97C98">
        <w:t xml:space="preserve"> </w:t>
      </w:r>
      <w:r w:rsidRPr="00454873">
        <w:rPr>
          <w:sz w:val="18"/>
          <w:szCs w:val="18"/>
        </w:rPr>
        <w:t>(«</w:t>
      </w:r>
      <w:proofErr w:type="spellStart"/>
      <w:r w:rsidRPr="00454873">
        <w:rPr>
          <w:sz w:val="18"/>
          <w:szCs w:val="18"/>
        </w:rPr>
        <w:t>business</w:t>
      </w:r>
      <w:proofErr w:type="spellEnd"/>
      <w:r w:rsidRPr="00454873">
        <w:rPr>
          <w:sz w:val="18"/>
          <w:szCs w:val="18"/>
        </w:rPr>
        <w:t xml:space="preserve"> </w:t>
      </w:r>
      <w:proofErr w:type="spellStart"/>
      <w:r w:rsidRPr="00454873">
        <w:rPr>
          <w:sz w:val="18"/>
          <w:szCs w:val="18"/>
        </w:rPr>
        <w:t>angels</w:t>
      </w:r>
      <w:proofErr w:type="spellEnd"/>
      <w:r w:rsidRPr="00454873">
        <w:rPr>
          <w:sz w:val="18"/>
          <w:szCs w:val="18"/>
        </w:rPr>
        <w:t xml:space="preserve">») και επενδύουν ίδια κεφάλαια σε µη </w:t>
      </w:r>
      <w:proofErr w:type="spellStart"/>
      <w:r w:rsidRPr="00454873">
        <w:rPr>
          <w:sz w:val="18"/>
          <w:szCs w:val="18"/>
        </w:rPr>
        <w:t>εισηγµένες</w:t>
      </w:r>
      <w:proofErr w:type="spellEnd"/>
      <w:r w:rsidRPr="00454873">
        <w:rPr>
          <w:sz w:val="18"/>
          <w:szCs w:val="18"/>
        </w:rPr>
        <w:t xml:space="preserve"> στο </w:t>
      </w:r>
      <w:proofErr w:type="spellStart"/>
      <w:r w:rsidRPr="00454873">
        <w:rPr>
          <w:sz w:val="18"/>
          <w:szCs w:val="18"/>
        </w:rPr>
        <w:t>χρηµατιστήριο</w:t>
      </w:r>
      <w:proofErr w:type="spellEnd"/>
      <w:r w:rsidRPr="00454873">
        <w:rPr>
          <w:sz w:val="18"/>
          <w:szCs w:val="18"/>
        </w:rPr>
        <w:t xml:space="preserve"> επιχειρήσεις, εφόσον το σύνολο της επένδυσης σε µ</w:t>
      </w:r>
      <w:proofErr w:type="spellStart"/>
      <w:r w:rsidRPr="00454873">
        <w:rPr>
          <w:sz w:val="18"/>
          <w:szCs w:val="18"/>
        </w:rPr>
        <w:t>ια</w:t>
      </w:r>
      <w:proofErr w:type="spellEnd"/>
      <w:r w:rsidRPr="00454873">
        <w:rPr>
          <w:sz w:val="18"/>
          <w:szCs w:val="18"/>
        </w:rPr>
        <w:t xml:space="preserve"> ίδια επιχείρηση δεν υπερβαίνει 1 250 000 ευρώ· β) </w:t>
      </w:r>
      <w:proofErr w:type="spellStart"/>
      <w:r w:rsidRPr="00454873">
        <w:rPr>
          <w:sz w:val="18"/>
          <w:szCs w:val="18"/>
        </w:rPr>
        <w:t>πανεπιστήµια</w:t>
      </w:r>
      <w:proofErr w:type="spellEnd"/>
      <w:r w:rsidRPr="00454873">
        <w:rPr>
          <w:sz w:val="18"/>
          <w:szCs w:val="18"/>
        </w:rPr>
        <w:t xml:space="preserve"> ή ερευνητικά κέντρα µη κερδοσκοπικού σκοπού· γ) </w:t>
      </w:r>
      <w:proofErr w:type="spellStart"/>
      <w:r w:rsidRPr="00454873">
        <w:rPr>
          <w:sz w:val="18"/>
          <w:szCs w:val="18"/>
        </w:rPr>
        <w:t>θεσµικοί</w:t>
      </w:r>
      <w:proofErr w:type="spellEnd"/>
      <w:r w:rsidRPr="00454873">
        <w:rPr>
          <w:sz w:val="18"/>
          <w:szCs w:val="18"/>
        </w:rPr>
        <w:t xml:space="preserve"> επενδυτές, </w:t>
      </w:r>
      <w:proofErr w:type="spellStart"/>
      <w:r w:rsidRPr="00454873">
        <w:rPr>
          <w:sz w:val="18"/>
          <w:szCs w:val="18"/>
        </w:rPr>
        <w:t>συµπεριλαµβανοµένων</w:t>
      </w:r>
      <w:proofErr w:type="spellEnd"/>
      <w:r w:rsidRPr="00454873">
        <w:rPr>
          <w:sz w:val="18"/>
          <w:szCs w:val="18"/>
        </w:rPr>
        <w:t xml:space="preserve"> των </w:t>
      </w:r>
      <w:proofErr w:type="spellStart"/>
      <w:r w:rsidRPr="00454873">
        <w:rPr>
          <w:sz w:val="18"/>
          <w:szCs w:val="18"/>
        </w:rPr>
        <w:t>ταµείων</w:t>
      </w:r>
      <w:proofErr w:type="spellEnd"/>
      <w:r w:rsidRPr="00454873">
        <w:rPr>
          <w:sz w:val="18"/>
          <w:szCs w:val="18"/>
        </w:rPr>
        <w:t xml:space="preserve"> περιφερειακής ανάπτυξης· δ) </w:t>
      </w:r>
      <w:proofErr w:type="spellStart"/>
      <w:r w:rsidRPr="00454873">
        <w:rPr>
          <w:sz w:val="18"/>
          <w:szCs w:val="18"/>
        </w:rPr>
        <w:t>αυτόνοµες</w:t>
      </w:r>
      <w:proofErr w:type="spellEnd"/>
      <w:r w:rsidRPr="00454873">
        <w:rPr>
          <w:sz w:val="18"/>
          <w:szCs w:val="18"/>
        </w:rPr>
        <w:t xml:space="preserve"> τοπικές αρχές µε ετήσιο </w:t>
      </w:r>
      <w:proofErr w:type="spellStart"/>
      <w:r w:rsidRPr="00454873">
        <w:rPr>
          <w:sz w:val="18"/>
          <w:szCs w:val="18"/>
        </w:rPr>
        <w:t>προϋπολογισµό</w:t>
      </w:r>
      <w:proofErr w:type="spellEnd"/>
      <w:r w:rsidRPr="00454873">
        <w:rPr>
          <w:sz w:val="18"/>
          <w:szCs w:val="18"/>
        </w:rPr>
        <w:t xml:space="preserve"> µ</w:t>
      </w:r>
      <w:proofErr w:type="spellStart"/>
      <w:r w:rsidRPr="00454873">
        <w:rPr>
          <w:sz w:val="18"/>
          <w:szCs w:val="18"/>
        </w:rPr>
        <w:t>ικρότερο</w:t>
      </w:r>
      <w:proofErr w:type="spellEnd"/>
      <w:r w:rsidRPr="00454873">
        <w:rPr>
          <w:sz w:val="18"/>
          <w:szCs w:val="18"/>
        </w:rPr>
        <w:t xml:space="preserve"> από 10 </w:t>
      </w:r>
      <w:proofErr w:type="spellStart"/>
      <w:r w:rsidRPr="00454873">
        <w:rPr>
          <w:sz w:val="18"/>
          <w:szCs w:val="18"/>
        </w:rPr>
        <w:t>εκατο</w:t>
      </w:r>
      <w:proofErr w:type="spellEnd"/>
      <w:r w:rsidRPr="00454873">
        <w:rPr>
          <w:sz w:val="18"/>
          <w:szCs w:val="18"/>
        </w:rPr>
        <w:t>µµ</w:t>
      </w:r>
      <w:proofErr w:type="spellStart"/>
      <w:r w:rsidRPr="00454873">
        <w:rPr>
          <w:sz w:val="18"/>
          <w:szCs w:val="18"/>
        </w:rPr>
        <w:t>ύρια</w:t>
      </w:r>
      <w:proofErr w:type="spellEnd"/>
      <w:r w:rsidRPr="00454873">
        <w:rPr>
          <w:sz w:val="18"/>
          <w:szCs w:val="18"/>
        </w:rPr>
        <w:t xml:space="preserve"> ευρώ και λιγότερο από 5</w:t>
      </w:r>
      <w:r w:rsidR="00D67203" w:rsidRPr="00454873">
        <w:rPr>
          <w:sz w:val="18"/>
          <w:szCs w:val="18"/>
        </w:rPr>
        <w:t>.</w:t>
      </w:r>
      <w:r w:rsidRPr="00454873">
        <w:rPr>
          <w:sz w:val="18"/>
          <w:szCs w:val="18"/>
        </w:rPr>
        <w:t>000 κατοίκους.</w:t>
      </w:r>
    </w:p>
  </w:footnote>
  <w:footnote w:id="2">
    <w:p w14:paraId="788F08E4" w14:textId="77777777" w:rsidR="003F796A" w:rsidRPr="002325D6" w:rsidRDefault="003F796A" w:rsidP="003F796A">
      <w:pPr>
        <w:pStyle w:val="af1"/>
        <w:rPr>
          <w:sz w:val="18"/>
          <w:szCs w:val="18"/>
        </w:rPr>
      </w:pPr>
      <w:r w:rsidRPr="002325D6">
        <w:rPr>
          <w:rStyle w:val="af0"/>
          <w:sz w:val="18"/>
          <w:szCs w:val="18"/>
        </w:rPr>
        <w:footnoteRef/>
      </w:r>
      <w:r w:rsidRPr="002325D6">
        <w:rPr>
          <w:sz w:val="18"/>
          <w:szCs w:val="18"/>
        </w:rPr>
        <w:t xml:space="preserve"> </w:t>
      </w:r>
      <w:r w:rsidRPr="002325D6">
        <w:rPr>
          <w:sz w:val="18"/>
          <w:szCs w:val="18"/>
        </w:rPr>
        <w:t xml:space="preserve">Το Παράρτημα Η.1 θέτει τεχνικές απαιτήσεις πρωταρχικά για μπαταρίες ιόντων </w:t>
      </w:r>
      <w:proofErr w:type="spellStart"/>
      <w:r w:rsidRPr="002325D6">
        <w:rPr>
          <w:sz w:val="18"/>
          <w:szCs w:val="18"/>
        </w:rPr>
        <w:t>λιθίου</w:t>
      </w:r>
      <w:proofErr w:type="spellEnd"/>
      <w:r w:rsidRPr="002325D6">
        <w:rPr>
          <w:sz w:val="18"/>
          <w:szCs w:val="18"/>
        </w:rPr>
        <w:t xml:space="preserve">. Οι απαιτήσεις αυτές εν πολλοίς εφαρμόζονται και σε άλλες τεχνολογίες συσσωρευτών, αλλά μόνο αποσπασματικά και κατά περίπτωση για άλλες τεχνολογίες αποθήκευσης. Εφόσον Σ.Α.Η.Ε. τέτοιων τεχνολογιών συμμετάσχουν και επιλεγούν για ενίσχυση, θα καθοριστούν σε επόμενο χρόνο αναλυτικές και προσαρμοσμένες απαιτήσεις, </w:t>
      </w:r>
      <w:proofErr w:type="spellStart"/>
      <w:r w:rsidRPr="002325D6">
        <w:rPr>
          <w:sz w:val="18"/>
          <w:szCs w:val="18"/>
        </w:rPr>
        <w:t>κατ</w:t>
      </w:r>
      <w:proofErr w:type="spellEnd"/>
      <w:r w:rsidRPr="002325D6">
        <w:rPr>
          <w:sz w:val="18"/>
          <w:szCs w:val="18"/>
        </w:rPr>
        <w:t>΄ αντιστοιχία με αυτές των μπαταριών και ως απαιτείται ώστε να εξασφαλίζεται ανάλογο επίπεδο τεχνικής αρτιότητας, ασφάλειας και λειτουργικότητας.</w:t>
      </w:r>
    </w:p>
  </w:footnote>
  <w:footnote w:id="3">
    <w:p w14:paraId="716632FC" w14:textId="77777777" w:rsidR="0026590D" w:rsidRPr="00427631" w:rsidRDefault="0026590D" w:rsidP="0026590D">
      <w:pPr>
        <w:pStyle w:val="a4"/>
        <w:ind w:left="0"/>
      </w:pPr>
      <w:r>
        <w:rPr>
          <w:rStyle w:val="af0"/>
        </w:rPr>
        <w:footnoteRef/>
      </w:r>
      <w:r>
        <w:t xml:space="preserve"> </w:t>
      </w:r>
      <w:r w:rsidRPr="0026590D">
        <w:rPr>
          <w:sz w:val="18"/>
          <w:szCs w:val="18"/>
        </w:rPr>
        <w:t xml:space="preserve">Οι όροι δημοσιότητας καθώς και τα λογότυπα του Ταμείου Ανάκαμψης και Ανθεκτικότητας βρίσκονται στην ηλεκτρονική διεύθυνση </w:t>
      </w:r>
      <w:hyperlink r:id="rId1" w:history="1">
        <w:r w:rsidRPr="0026590D">
          <w:rPr>
            <w:rStyle w:val="-"/>
            <w:color w:val="auto"/>
            <w:sz w:val="18"/>
            <w:szCs w:val="18"/>
          </w:rPr>
          <w:t>https://greece20.gov.gr</w:t>
        </w:r>
      </w:hyperlink>
    </w:p>
    <w:p w14:paraId="1188466C" w14:textId="78BEF324" w:rsidR="0026590D" w:rsidRDefault="0026590D">
      <w:pPr>
        <w:pStyle w:val="af1"/>
      </w:pPr>
    </w:p>
  </w:footnote>
  <w:footnote w:id="4">
    <w:p w14:paraId="4E34C4EF" w14:textId="77777777" w:rsidR="00252B53" w:rsidRPr="00C72D5D" w:rsidRDefault="00252B53" w:rsidP="00252B53">
      <w:pPr>
        <w:pStyle w:val="af1"/>
        <w:rPr>
          <w:lang w:val="en-US"/>
        </w:rPr>
      </w:pPr>
      <w:r>
        <w:rPr>
          <w:rStyle w:val="af0"/>
        </w:rPr>
        <w:footnoteRef/>
      </w:r>
      <w:r w:rsidRPr="00C72D5D">
        <w:rPr>
          <w:lang w:val="en-US"/>
        </w:rPr>
        <w:t xml:space="preserve"> </w:t>
      </w:r>
      <w:r>
        <w:t>Όπως</w:t>
      </w:r>
      <w:r w:rsidRPr="00C72D5D">
        <w:rPr>
          <w:lang w:val="en-US"/>
        </w:rPr>
        <w:t xml:space="preserve"> </w:t>
      </w:r>
      <w:r>
        <w:t>ορίζεται</w:t>
      </w:r>
      <w:r w:rsidRPr="00C72D5D">
        <w:rPr>
          <w:lang w:val="en-US"/>
        </w:rPr>
        <w:t xml:space="preserve"> </w:t>
      </w:r>
      <w:r>
        <w:t>στον</w:t>
      </w:r>
      <w:r w:rsidRPr="00C72D5D">
        <w:rPr>
          <w:lang w:val="en-US"/>
        </w:rPr>
        <w:t xml:space="preserve"> </w:t>
      </w:r>
      <w:r>
        <w:t>νόμο</w:t>
      </w:r>
      <w:r w:rsidRPr="00C72D5D">
        <w:rPr>
          <w:lang w:val="en-US"/>
        </w:rPr>
        <w:t xml:space="preserve"> 4951/2022.</w:t>
      </w:r>
    </w:p>
  </w:footnote>
  <w:footnote w:id="5">
    <w:p w14:paraId="78E9C03B" w14:textId="77777777" w:rsidR="00754655" w:rsidRPr="00C72D5D" w:rsidRDefault="00754655" w:rsidP="00754655">
      <w:pPr>
        <w:pStyle w:val="af1"/>
        <w:rPr>
          <w:lang w:val="en-US"/>
        </w:rPr>
      </w:pPr>
      <w:r>
        <w:rPr>
          <w:rStyle w:val="af0"/>
        </w:rPr>
        <w:footnoteRef/>
      </w:r>
      <w:r w:rsidRPr="00C72D5D">
        <w:rPr>
          <w:lang w:val="en-US"/>
        </w:rPr>
        <w:t xml:space="preserve"> </w:t>
      </w:r>
      <w:r>
        <w:rPr>
          <w:lang w:val="en-US"/>
        </w:rPr>
        <w:t>As</w:t>
      </w:r>
      <w:r w:rsidRPr="00C72D5D">
        <w:rPr>
          <w:lang w:val="en-US"/>
        </w:rPr>
        <w:t xml:space="preserve"> </w:t>
      </w:r>
      <w:r>
        <w:rPr>
          <w:lang w:val="en-US"/>
        </w:rPr>
        <w:t>defined</w:t>
      </w:r>
      <w:r w:rsidRPr="00C72D5D">
        <w:rPr>
          <w:lang w:val="en-US"/>
        </w:rPr>
        <w:t xml:space="preserve"> </w:t>
      </w:r>
      <w:r>
        <w:rPr>
          <w:lang w:val="en-US"/>
        </w:rPr>
        <w:t>in</w:t>
      </w:r>
      <w:r w:rsidRPr="00C72D5D">
        <w:rPr>
          <w:lang w:val="en-US"/>
        </w:rPr>
        <w:t xml:space="preserve"> </w:t>
      </w:r>
      <w:r>
        <w:rPr>
          <w:lang w:val="en-US"/>
        </w:rPr>
        <w:t>Law</w:t>
      </w:r>
      <w:r w:rsidRPr="00C72D5D">
        <w:rPr>
          <w:lang w:val="en-US"/>
        </w:rPr>
        <w:t xml:space="preserve"> 4951/2022.</w:t>
      </w:r>
    </w:p>
  </w:footnote>
  <w:footnote w:id="6">
    <w:p w14:paraId="4A444F11" w14:textId="77777777" w:rsidR="00A54612" w:rsidRPr="00A54612" w:rsidRDefault="00A54612" w:rsidP="00A54612">
      <w:pPr>
        <w:pStyle w:val="af1"/>
        <w:rPr>
          <w:sz w:val="18"/>
          <w:szCs w:val="18"/>
          <w:lang w:val="en-US"/>
        </w:rPr>
      </w:pPr>
      <w:r w:rsidRPr="0016532B">
        <w:rPr>
          <w:rStyle w:val="af0"/>
          <w:sz w:val="18"/>
          <w:szCs w:val="18"/>
        </w:rPr>
        <w:footnoteRef/>
      </w:r>
      <w:r w:rsidRPr="00A54612">
        <w:rPr>
          <w:sz w:val="18"/>
          <w:szCs w:val="18"/>
          <w:lang w:val="en-US"/>
        </w:rPr>
        <w:t xml:space="preserve"> It is mentioned that these ramp rates refer to active power responses while </w:t>
      </w:r>
      <w:bookmarkStart w:id="53" w:name="_Hlk127445297"/>
      <w:r w:rsidRPr="00A54612">
        <w:rPr>
          <w:sz w:val="18"/>
          <w:szCs w:val="18"/>
          <w:lang w:val="en-US"/>
        </w:rPr>
        <w:t xml:space="preserve">applying </w:t>
      </w:r>
      <w:bookmarkEnd w:id="53"/>
      <w:r w:rsidRPr="00A54612">
        <w:rPr>
          <w:sz w:val="18"/>
          <w:szCs w:val="18"/>
          <w:lang w:val="en-US"/>
        </w:rPr>
        <w:t>active power set points and they are not related with any other frequency response phenomena.</w:t>
      </w:r>
    </w:p>
  </w:footnote>
  <w:footnote w:id="7">
    <w:p w14:paraId="399A272D" w14:textId="77777777" w:rsidR="00A54612" w:rsidRPr="00A54612" w:rsidRDefault="00A54612" w:rsidP="00A54612">
      <w:pPr>
        <w:pStyle w:val="af1"/>
        <w:rPr>
          <w:lang w:val="en-US"/>
        </w:rPr>
      </w:pPr>
      <w:r>
        <w:rPr>
          <w:rStyle w:val="af0"/>
        </w:rPr>
        <w:footnoteRef/>
      </w:r>
      <w:r w:rsidRPr="00A54612">
        <w:rPr>
          <w:lang w:val="en-US"/>
        </w:rPr>
        <w:t xml:space="preserve"> For the transient period, the overshooting of the active power response should not exceed +5% of the expected response. For steady state, </w:t>
      </w:r>
      <w:r w:rsidRPr="00A54612">
        <w:rPr>
          <w:rFonts w:cs="Calibri"/>
          <w:lang w:val="en-US"/>
        </w:rPr>
        <w:t>±</w:t>
      </w:r>
      <w:r w:rsidRPr="00A54612">
        <w:rPr>
          <w:lang w:val="en-US"/>
        </w:rPr>
        <w:t xml:space="preserve">5% of the expected response or </w:t>
      </w:r>
      <w:r w:rsidRPr="00A54612">
        <w:rPr>
          <w:rFonts w:cs="Calibri"/>
          <w:lang w:val="en-US"/>
        </w:rPr>
        <w:t>±</w:t>
      </w:r>
      <w:r w:rsidRPr="00A54612">
        <w:rPr>
          <w:lang w:val="en-US"/>
        </w:rPr>
        <w:t>1MW, whichever value is smaller.</w:t>
      </w:r>
    </w:p>
  </w:footnote>
  <w:footnote w:id="8">
    <w:p w14:paraId="69DDC7AE" w14:textId="77777777" w:rsidR="00A54612" w:rsidRPr="00A54612" w:rsidRDefault="00A54612" w:rsidP="00A54612">
      <w:pPr>
        <w:pStyle w:val="af1"/>
        <w:rPr>
          <w:lang w:val="en-US"/>
        </w:rPr>
      </w:pPr>
      <w:r>
        <w:rPr>
          <w:rStyle w:val="af0"/>
        </w:rPr>
        <w:footnoteRef/>
      </w:r>
      <w:r w:rsidRPr="00A54612">
        <w:rPr>
          <w:lang w:val="en-US"/>
        </w:rPr>
        <w:t xml:space="preserve"> For the transient period, the overshooting of the active power response shall not exceed +5% of the expected response. For steady state, </w:t>
      </w:r>
      <w:r w:rsidRPr="00A54612">
        <w:rPr>
          <w:rFonts w:cs="Calibri"/>
          <w:lang w:val="en-US"/>
        </w:rPr>
        <w:t>±</w:t>
      </w:r>
      <w:r w:rsidRPr="00A54612">
        <w:rPr>
          <w:lang w:val="en-US"/>
        </w:rPr>
        <w:t xml:space="preserve">5% of the expected response or </w:t>
      </w:r>
      <w:r w:rsidRPr="00A54612">
        <w:rPr>
          <w:rFonts w:cs="Calibri"/>
          <w:lang w:val="en-US"/>
        </w:rPr>
        <w:t>±</w:t>
      </w:r>
      <w:r w:rsidRPr="00A54612">
        <w:rPr>
          <w:lang w:val="en-US"/>
        </w:rPr>
        <w:t xml:space="preserve">1MW, whichever value is smaller. </w:t>
      </w:r>
    </w:p>
  </w:footnote>
  <w:footnote w:id="9">
    <w:p w14:paraId="7C425259" w14:textId="77777777" w:rsidR="00A54612" w:rsidRPr="00A54612" w:rsidRDefault="00A54612" w:rsidP="00A54612">
      <w:pPr>
        <w:pStyle w:val="af1"/>
        <w:rPr>
          <w:sz w:val="18"/>
          <w:szCs w:val="18"/>
          <w:lang w:val="en-US"/>
        </w:rPr>
      </w:pPr>
      <w:r w:rsidRPr="0075244D">
        <w:rPr>
          <w:rStyle w:val="af0"/>
          <w:sz w:val="18"/>
          <w:szCs w:val="18"/>
        </w:rPr>
        <w:footnoteRef/>
      </w:r>
      <w:r w:rsidRPr="00A54612">
        <w:rPr>
          <w:sz w:val="18"/>
          <w:szCs w:val="18"/>
          <w:lang w:val="en-US"/>
        </w:rPr>
        <w:t xml:space="preserve"> The active power control system it is characterized by an inherent insensitivity to frequency deviations (“frequency response insensitivity”) as well as an intentional dead-band (“frequency response dead-band”) to avoid excessive controller activities and turbine mechanical wear for very small system frequency variations. For simplicity, in this Technical Guideline the combined effect of these two characteristics is referred as “dead band”. For ESMs connected to the HETS, the dead band shall be limited to ±10mHz (±0,02% </w:t>
      </w:r>
      <w:proofErr w:type="spellStart"/>
      <w:r w:rsidRPr="00A54612">
        <w:rPr>
          <w:sz w:val="18"/>
          <w:szCs w:val="18"/>
          <w:lang w:val="en-US"/>
        </w:rPr>
        <w:t>p.u</w:t>
      </w:r>
      <w:proofErr w:type="spellEnd"/>
      <w:r w:rsidRPr="00A54612">
        <w:rPr>
          <w:sz w:val="18"/>
          <w:szCs w:val="18"/>
          <w:lang w:val="en-US"/>
        </w:rPr>
        <w:t>. on 50Hz base).</w:t>
      </w:r>
    </w:p>
  </w:footnote>
  <w:footnote w:id="10">
    <w:p w14:paraId="175E0F01" w14:textId="77777777" w:rsidR="00A54612" w:rsidRPr="00A54612" w:rsidRDefault="00A54612" w:rsidP="00A54612">
      <w:pPr>
        <w:pStyle w:val="af1"/>
        <w:rPr>
          <w:sz w:val="18"/>
          <w:szCs w:val="18"/>
          <w:lang w:val="en-US"/>
        </w:rPr>
      </w:pPr>
      <w:r w:rsidRPr="0016532B">
        <w:rPr>
          <w:rStyle w:val="af0"/>
          <w:sz w:val="18"/>
          <w:szCs w:val="18"/>
        </w:rPr>
        <w:footnoteRef/>
      </w:r>
      <w:r w:rsidRPr="00A54612">
        <w:rPr>
          <w:sz w:val="18"/>
          <w:szCs w:val="18"/>
          <w:lang w:val="en-US"/>
        </w:rPr>
        <w:t xml:space="preserve"> Continues adjustment in discharging mode: decrease of active power generation for increasing frequency and increase of active power generation for decreasing frequency. </w:t>
      </w:r>
    </w:p>
    <w:p w14:paraId="0E7257C8" w14:textId="77777777" w:rsidR="00A54612" w:rsidRPr="00A54612" w:rsidRDefault="00A54612" w:rsidP="00A54612">
      <w:pPr>
        <w:pStyle w:val="af1"/>
        <w:rPr>
          <w:sz w:val="18"/>
          <w:szCs w:val="18"/>
          <w:lang w:val="en-US"/>
        </w:rPr>
      </w:pPr>
      <w:r w:rsidRPr="00A54612">
        <w:rPr>
          <w:sz w:val="18"/>
          <w:szCs w:val="18"/>
          <w:lang w:val="en-US"/>
        </w:rPr>
        <w:t>Continues adjustment in charging mode: increase of active power consumption for increasing frequency and decrease of active power consumption for decreasing frequency.</w:t>
      </w:r>
    </w:p>
  </w:footnote>
  <w:footnote w:id="11">
    <w:p w14:paraId="539E52E5" w14:textId="77777777" w:rsidR="00A54612" w:rsidRPr="00A54612" w:rsidRDefault="00A54612" w:rsidP="00A54612">
      <w:pPr>
        <w:pStyle w:val="af1"/>
        <w:rPr>
          <w:lang w:val="en-US"/>
        </w:rPr>
      </w:pPr>
      <w:r>
        <w:rPr>
          <w:rStyle w:val="af0"/>
        </w:rPr>
        <w:footnoteRef/>
      </w:r>
      <w:r w:rsidRPr="00A54612">
        <w:rPr>
          <w:lang w:val="en-US"/>
        </w:rPr>
        <w:t xml:space="preserve"> It is considered that the maximum capacity (ESM under discharging operating mode) is equal with the maximum consumption capacity (ESM under discharging operating mode). If this assumption does not apply, reactive power capability requirements shall be modified accordingly. </w:t>
      </w:r>
    </w:p>
  </w:footnote>
  <w:footnote w:id="12">
    <w:p w14:paraId="7BDF00B7" w14:textId="77777777" w:rsidR="00A54612" w:rsidRPr="00A54612" w:rsidRDefault="00A54612" w:rsidP="00A54612">
      <w:pPr>
        <w:pStyle w:val="af1"/>
        <w:rPr>
          <w:sz w:val="18"/>
          <w:szCs w:val="18"/>
          <w:lang w:val="en-US"/>
        </w:rPr>
      </w:pPr>
      <w:r w:rsidRPr="0075244D">
        <w:rPr>
          <w:rStyle w:val="af0"/>
          <w:sz w:val="18"/>
          <w:szCs w:val="18"/>
        </w:rPr>
        <w:footnoteRef/>
      </w:r>
      <w:r w:rsidRPr="00A54612">
        <w:rPr>
          <w:sz w:val="18"/>
          <w:szCs w:val="18"/>
          <w:lang w:val="en-US"/>
        </w:rPr>
        <w:t xml:space="preserve"> At present IPTO uses PSS®E and PSCAD for RMS and EMT studies, respectively.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2ED9" w14:textId="0B0F74C9" w:rsidR="00D10582" w:rsidRDefault="00D10582" w:rsidP="00E764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E421" w14:textId="77777777" w:rsidR="00A54612" w:rsidRDefault="00A5461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1338" w14:textId="77777777" w:rsidR="00A54612" w:rsidRPr="00A54612" w:rsidRDefault="00A54612" w:rsidP="007D5536">
    <w:pPr>
      <w:pStyle w:val="a5"/>
      <w:jc w:val="right"/>
      <w:rPr>
        <w:sz w:val="18"/>
        <w:szCs w:val="18"/>
        <w:lang w:val="en-US"/>
      </w:rPr>
    </w:pPr>
    <w:r w:rsidRPr="00A54612">
      <w:rPr>
        <w:sz w:val="18"/>
        <w:szCs w:val="18"/>
        <w:lang w:val="en-US"/>
      </w:rPr>
      <w:t xml:space="preserve">IPTO - Technical Guideline for the Connection of Electricity Storage Modules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ADB2" w14:textId="77777777" w:rsidR="00A54612" w:rsidRDefault="00A54612">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1583" w14:textId="7D058650" w:rsidR="00A54612" w:rsidRPr="00C72D5D" w:rsidRDefault="00A54612" w:rsidP="00C72D5D">
    <w:pPr>
      <w:pStyle w:val="a5"/>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13DB" w14:textId="57719AAB" w:rsidR="006821F5" w:rsidRDefault="006821F5">
    <w:pPr>
      <w:pStyle w:val="a5"/>
      <w:jc w:val="right"/>
    </w:pPr>
  </w:p>
  <w:p w14:paraId="6A81FE47" w14:textId="31CB17F6" w:rsidR="003212AB" w:rsidRDefault="003212AB" w:rsidP="00316E2C">
    <w:pPr>
      <w:pStyle w:val="a5"/>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D77"/>
    <w:multiLevelType w:val="hybridMultilevel"/>
    <w:tmpl w:val="7E48FE0E"/>
    <w:lvl w:ilvl="0" w:tplc="01D6C4F4">
      <w:start w:val="1"/>
      <mc:AlternateContent>
        <mc:Choice Requires="w14">
          <w:numFmt w:val="custom" w:format="α, β, γ, ..."/>
        </mc:Choice>
        <mc:Fallback>
          <w:numFmt w:val="decimal"/>
        </mc:Fallback>
      </mc:AlternateContent>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03D22FEC"/>
    <w:multiLevelType w:val="hybridMultilevel"/>
    <w:tmpl w:val="4DA8A4EA"/>
    <w:lvl w:ilvl="0" w:tplc="F94A0D0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67CC4"/>
    <w:multiLevelType w:val="hybridMultilevel"/>
    <w:tmpl w:val="5E00A014"/>
    <w:lvl w:ilvl="0" w:tplc="F94A0D0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825F6"/>
    <w:multiLevelType w:val="hybridMultilevel"/>
    <w:tmpl w:val="013495CE"/>
    <w:lvl w:ilvl="0" w:tplc="0409001B">
      <w:start w:val="1"/>
      <w:numFmt w:val="lowerRoman"/>
      <w:lvlText w:val="%1."/>
      <w:lvlJc w:val="right"/>
      <w:pPr>
        <w:ind w:left="2335" w:hanging="360"/>
      </w:pPr>
    </w:lvl>
    <w:lvl w:ilvl="1" w:tplc="04090019" w:tentative="1">
      <w:start w:val="1"/>
      <w:numFmt w:val="lowerLetter"/>
      <w:lvlText w:val="%2."/>
      <w:lvlJc w:val="left"/>
      <w:pPr>
        <w:ind w:left="3055" w:hanging="360"/>
      </w:pPr>
    </w:lvl>
    <w:lvl w:ilvl="2" w:tplc="0409001B" w:tentative="1">
      <w:start w:val="1"/>
      <w:numFmt w:val="lowerRoman"/>
      <w:lvlText w:val="%3."/>
      <w:lvlJc w:val="right"/>
      <w:pPr>
        <w:ind w:left="3775" w:hanging="180"/>
      </w:pPr>
    </w:lvl>
    <w:lvl w:ilvl="3" w:tplc="0409000F" w:tentative="1">
      <w:start w:val="1"/>
      <w:numFmt w:val="decimal"/>
      <w:lvlText w:val="%4."/>
      <w:lvlJc w:val="left"/>
      <w:pPr>
        <w:ind w:left="4495" w:hanging="360"/>
      </w:pPr>
    </w:lvl>
    <w:lvl w:ilvl="4" w:tplc="04090019" w:tentative="1">
      <w:start w:val="1"/>
      <w:numFmt w:val="lowerLetter"/>
      <w:lvlText w:val="%5."/>
      <w:lvlJc w:val="left"/>
      <w:pPr>
        <w:ind w:left="5215" w:hanging="360"/>
      </w:pPr>
    </w:lvl>
    <w:lvl w:ilvl="5" w:tplc="0409001B" w:tentative="1">
      <w:start w:val="1"/>
      <w:numFmt w:val="lowerRoman"/>
      <w:lvlText w:val="%6."/>
      <w:lvlJc w:val="right"/>
      <w:pPr>
        <w:ind w:left="5935" w:hanging="180"/>
      </w:pPr>
    </w:lvl>
    <w:lvl w:ilvl="6" w:tplc="0409000F" w:tentative="1">
      <w:start w:val="1"/>
      <w:numFmt w:val="decimal"/>
      <w:lvlText w:val="%7."/>
      <w:lvlJc w:val="left"/>
      <w:pPr>
        <w:ind w:left="6655" w:hanging="360"/>
      </w:pPr>
    </w:lvl>
    <w:lvl w:ilvl="7" w:tplc="04090019" w:tentative="1">
      <w:start w:val="1"/>
      <w:numFmt w:val="lowerLetter"/>
      <w:lvlText w:val="%8."/>
      <w:lvlJc w:val="left"/>
      <w:pPr>
        <w:ind w:left="7375" w:hanging="360"/>
      </w:pPr>
    </w:lvl>
    <w:lvl w:ilvl="8" w:tplc="0409001B" w:tentative="1">
      <w:start w:val="1"/>
      <w:numFmt w:val="lowerRoman"/>
      <w:lvlText w:val="%9."/>
      <w:lvlJc w:val="right"/>
      <w:pPr>
        <w:ind w:left="8095" w:hanging="180"/>
      </w:pPr>
    </w:lvl>
  </w:abstractNum>
  <w:abstractNum w:abstractNumId="4" w15:restartNumberingAfterBreak="0">
    <w:nsid w:val="0C095501"/>
    <w:multiLevelType w:val="hybridMultilevel"/>
    <w:tmpl w:val="5C383926"/>
    <w:lvl w:ilvl="0" w:tplc="04090019">
      <w:start w:val="1"/>
      <w:numFmt w:val="lowerLetter"/>
      <w:lvlText w:val="%1."/>
      <w:lvlJc w:val="left"/>
      <w:pPr>
        <w:ind w:left="1724" w:hanging="360"/>
      </w:pPr>
      <w:rPr>
        <w:rFonts w:hint="default"/>
      </w:rPr>
    </w:lvl>
    <w:lvl w:ilvl="1" w:tplc="04080019" w:tentative="1">
      <w:start w:val="1"/>
      <w:numFmt w:val="lowerLetter"/>
      <w:lvlText w:val="%2."/>
      <w:lvlJc w:val="left"/>
      <w:pPr>
        <w:ind w:left="2444" w:hanging="360"/>
      </w:pPr>
    </w:lvl>
    <w:lvl w:ilvl="2" w:tplc="0408001B" w:tentative="1">
      <w:start w:val="1"/>
      <w:numFmt w:val="lowerRoman"/>
      <w:lvlText w:val="%3."/>
      <w:lvlJc w:val="right"/>
      <w:pPr>
        <w:ind w:left="3164" w:hanging="180"/>
      </w:pPr>
    </w:lvl>
    <w:lvl w:ilvl="3" w:tplc="0408000F" w:tentative="1">
      <w:start w:val="1"/>
      <w:numFmt w:val="decimal"/>
      <w:lvlText w:val="%4."/>
      <w:lvlJc w:val="left"/>
      <w:pPr>
        <w:ind w:left="3884" w:hanging="360"/>
      </w:pPr>
    </w:lvl>
    <w:lvl w:ilvl="4" w:tplc="04080019" w:tentative="1">
      <w:start w:val="1"/>
      <w:numFmt w:val="lowerLetter"/>
      <w:lvlText w:val="%5."/>
      <w:lvlJc w:val="left"/>
      <w:pPr>
        <w:ind w:left="4604" w:hanging="360"/>
      </w:pPr>
    </w:lvl>
    <w:lvl w:ilvl="5" w:tplc="0408001B" w:tentative="1">
      <w:start w:val="1"/>
      <w:numFmt w:val="lowerRoman"/>
      <w:lvlText w:val="%6."/>
      <w:lvlJc w:val="right"/>
      <w:pPr>
        <w:ind w:left="5324" w:hanging="180"/>
      </w:pPr>
    </w:lvl>
    <w:lvl w:ilvl="6" w:tplc="0408000F" w:tentative="1">
      <w:start w:val="1"/>
      <w:numFmt w:val="decimal"/>
      <w:lvlText w:val="%7."/>
      <w:lvlJc w:val="left"/>
      <w:pPr>
        <w:ind w:left="6044" w:hanging="360"/>
      </w:pPr>
    </w:lvl>
    <w:lvl w:ilvl="7" w:tplc="04080019" w:tentative="1">
      <w:start w:val="1"/>
      <w:numFmt w:val="lowerLetter"/>
      <w:lvlText w:val="%8."/>
      <w:lvlJc w:val="left"/>
      <w:pPr>
        <w:ind w:left="6764" w:hanging="360"/>
      </w:pPr>
    </w:lvl>
    <w:lvl w:ilvl="8" w:tplc="0408001B" w:tentative="1">
      <w:start w:val="1"/>
      <w:numFmt w:val="lowerRoman"/>
      <w:lvlText w:val="%9."/>
      <w:lvlJc w:val="right"/>
      <w:pPr>
        <w:ind w:left="7484" w:hanging="180"/>
      </w:pPr>
    </w:lvl>
  </w:abstractNum>
  <w:abstractNum w:abstractNumId="5" w15:restartNumberingAfterBreak="0">
    <w:nsid w:val="10A9488D"/>
    <w:multiLevelType w:val="hybridMultilevel"/>
    <w:tmpl w:val="3716C1D8"/>
    <w:lvl w:ilvl="0" w:tplc="F94A0D0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D6141"/>
    <w:multiLevelType w:val="hybridMultilevel"/>
    <w:tmpl w:val="9BF22988"/>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11726A8B"/>
    <w:multiLevelType w:val="hybridMultilevel"/>
    <w:tmpl w:val="9BF22988"/>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154B252D"/>
    <w:multiLevelType w:val="hybridMultilevel"/>
    <w:tmpl w:val="9ED249B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17234435"/>
    <w:multiLevelType w:val="hybridMultilevel"/>
    <w:tmpl w:val="DB2011BA"/>
    <w:lvl w:ilvl="0" w:tplc="FFFFFFFF">
      <w:start w:val="1"/>
      <w:numFmt w:val="upperRoman"/>
      <w:lvlText w:val="%1."/>
      <w:lvlJc w:val="right"/>
      <w:pPr>
        <w:ind w:left="1080" w:hanging="360"/>
      </w:p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1BCC1F1F"/>
    <w:multiLevelType w:val="hybridMultilevel"/>
    <w:tmpl w:val="5CB2A1B2"/>
    <w:lvl w:ilvl="0" w:tplc="F94A0D0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324A6"/>
    <w:multiLevelType w:val="hybridMultilevel"/>
    <w:tmpl w:val="4600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629E4"/>
    <w:multiLevelType w:val="hybridMultilevel"/>
    <w:tmpl w:val="9F5AED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651A70"/>
    <w:multiLevelType w:val="hybridMultilevel"/>
    <w:tmpl w:val="9BF22988"/>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20761646"/>
    <w:multiLevelType w:val="hybridMultilevel"/>
    <w:tmpl w:val="CB96C6C8"/>
    <w:lvl w:ilvl="0" w:tplc="04090019">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22845A0F"/>
    <w:multiLevelType w:val="hybridMultilevel"/>
    <w:tmpl w:val="50322776"/>
    <w:lvl w:ilvl="0" w:tplc="F94A0D0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F2AEF"/>
    <w:multiLevelType w:val="hybridMultilevel"/>
    <w:tmpl w:val="9ED249B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256707C7"/>
    <w:multiLevelType w:val="hybridMultilevel"/>
    <w:tmpl w:val="FA320D3E"/>
    <w:lvl w:ilvl="0" w:tplc="738071D2">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E85526"/>
    <w:multiLevelType w:val="hybridMultilevel"/>
    <w:tmpl w:val="CA1058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27477F43"/>
    <w:multiLevelType w:val="multilevel"/>
    <w:tmpl w:val="F64C66B4"/>
    <w:lvl w:ilvl="0">
      <w:start w:val="2"/>
      <w:numFmt w:val="decimal"/>
      <w:lvlText w:val="%1."/>
      <w:lvlJc w:val="left"/>
      <w:pPr>
        <w:ind w:left="384" w:hanging="384"/>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2D473730"/>
    <w:multiLevelType w:val="hybridMultilevel"/>
    <w:tmpl w:val="C9241FDE"/>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9D691D"/>
    <w:multiLevelType w:val="hybridMultilevel"/>
    <w:tmpl w:val="A2E6FFC6"/>
    <w:lvl w:ilvl="0" w:tplc="01D6C4F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E2FDB"/>
    <w:multiLevelType w:val="hybridMultilevel"/>
    <w:tmpl w:val="E8F2440C"/>
    <w:lvl w:ilvl="0" w:tplc="04080015">
      <w:start w:val="1"/>
      <w:numFmt w:val="upperLetter"/>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15:restartNumberingAfterBreak="0">
    <w:nsid w:val="439A2F63"/>
    <w:multiLevelType w:val="hybridMultilevel"/>
    <w:tmpl w:val="F8C6845C"/>
    <w:lvl w:ilvl="0" w:tplc="318A0722">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7368A"/>
    <w:multiLevelType w:val="hybridMultilevel"/>
    <w:tmpl w:val="03F2C9B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6875AE4"/>
    <w:multiLevelType w:val="hybridMultilevel"/>
    <w:tmpl w:val="9ED249B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48023D09"/>
    <w:multiLevelType w:val="hybridMultilevel"/>
    <w:tmpl w:val="EB18B264"/>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643B8B"/>
    <w:multiLevelType w:val="hybridMultilevel"/>
    <w:tmpl w:val="EC8AF128"/>
    <w:lvl w:ilvl="0" w:tplc="01D6C4F4">
      <w:start w:val="1"/>
      <mc:AlternateContent>
        <mc:Choice Requires="w14">
          <w:numFmt w:val="custom" w:format="α, β, γ, ..."/>
        </mc:Choice>
        <mc:Fallback>
          <w:numFmt w:val="decimal"/>
        </mc:Fallback>
      </mc:AlternateContent>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8" w15:restartNumberingAfterBreak="0">
    <w:nsid w:val="4B3339F1"/>
    <w:multiLevelType w:val="hybridMultilevel"/>
    <w:tmpl w:val="D8A4CECA"/>
    <w:lvl w:ilvl="0" w:tplc="CA080C1C">
      <w:start w:val="1"/>
      <w:numFmt w:val="decimal"/>
      <w:lvlText w:val="%1."/>
      <w:lvlJc w:val="left"/>
      <w:pPr>
        <w:ind w:left="1350" w:hanging="261"/>
      </w:pPr>
      <w:rPr>
        <w:rFonts w:ascii="Tahoma" w:eastAsia="Times New Roman" w:hAnsi="Tahoma" w:cs="Tahoma" w:hint="default"/>
        <w:b/>
        <w:bCs/>
        <w:spacing w:val="0"/>
        <w:w w:val="103"/>
        <w:sz w:val="20"/>
        <w:szCs w:val="20"/>
        <w:lang w:val="el-GR" w:eastAsia="en-US" w:bidi="ar-SA"/>
      </w:rPr>
    </w:lvl>
    <w:lvl w:ilvl="1" w:tplc="987E806C">
      <w:numFmt w:val="bullet"/>
      <w:lvlText w:val="•"/>
      <w:lvlJc w:val="left"/>
      <w:pPr>
        <w:ind w:left="2250" w:hanging="261"/>
      </w:pPr>
      <w:rPr>
        <w:rFonts w:hint="default"/>
        <w:lang w:val="el-GR" w:eastAsia="en-US" w:bidi="ar-SA"/>
      </w:rPr>
    </w:lvl>
    <w:lvl w:ilvl="2" w:tplc="192AC54E">
      <w:numFmt w:val="bullet"/>
      <w:lvlText w:val="•"/>
      <w:lvlJc w:val="left"/>
      <w:pPr>
        <w:ind w:left="3140" w:hanging="261"/>
      </w:pPr>
      <w:rPr>
        <w:rFonts w:hint="default"/>
        <w:lang w:val="el-GR" w:eastAsia="en-US" w:bidi="ar-SA"/>
      </w:rPr>
    </w:lvl>
    <w:lvl w:ilvl="3" w:tplc="E50A77D4">
      <w:numFmt w:val="bullet"/>
      <w:lvlText w:val="•"/>
      <w:lvlJc w:val="left"/>
      <w:pPr>
        <w:ind w:left="4030" w:hanging="261"/>
      </w:pPr>
      <w:rPr>
        <w:rFonts w:hint="default"/>
        <w:lang w:val="el-GR" w:eastAsia="en-US" w:bidi="ar-SA"/>
      </w:rPr>
    </w:lvl>
    <w:lvl w:ilvl="4" w:tplc="94E6D512">
      <w:numFmt w:val="bullet"/>
      <w:lvlText w:val="•"/>
      <w:lvlJc w:val="left"/>
      <w:pPr>
        <w:ind w:left="4920" w:hanging="261"/>
      </w:pPr>
      <w:rPr>
        <w:rFonts w:hint="default"/>
        <w:lang w:val="el-GR" w:eastAsia="en-US" w:bidi="ar-SA"/>
      </w:rPr>
    </w:lvl>
    <w:lvl w:ilvl="5" w:tplc="9E1E91AE">
      <w:numFmt w:val="bullet"/>
      <w:lvlText w:val="•"/>
      <w:lvlJc w:val="left"/>
      <w:pPr>
        <w:ind w:left="5810" w:hanging="261"/>
      </w:pPr>
      <w:rPr>
        <w:rFonts w:hint="default"/>
        <w:lang w:val="el-GR" w:eastAsia="en-US" w:bidi="ar-SA"/>
      </w:rPr>
    </w:lvl>
    <w:lvl w:ilvl="6" w:tplc="437694C2">
      <w:numFmt w:val="bullet"/>
      <w:lvlText w:val="•"/>
      <w:lvlJc w:val="left"/>
      <w:pPr>
        <w:ind w:left="6700" w:hanging="261"/>
      </w:pPr>
      <w:rPr>
        <w:rFonts w:hint="default"/>
        <w:lang w:val="el-GR" w:eastAsia="en-US" w:bidi="ar-SA"/>
      </w:rPr>
    </w:lvl>
    <w:lvl w:ilvl="7" w:tplc="78E0A1D2">
      <w:numFmt w:val="bullet"/>
      <w:lvlText w:val="•"/>
      <w:lvlJc w:val="left"/>
      <w:pPr>
        <w:ind w:left="7590" w:hanging="261"/>
      </w:pPr>
      <w:rPr>
        <w:rFonts w:hint="default"/>
        <w:lang w:val="el-GR" w:eastAsia="en-US" w:bidi="ar-SA"/>
      </w:rPr>
    </w:lvl>
    <w:lvl w:ilvl="8" w:tplc="8190EC3A">
      <w:numFmt w:val="bullet"/>
      <w:lvlText w:val="•"/>
      <w:lvlJc w:val="left"/>
      <w:pPr>
        <w:ind w:left="8480" w:hanging="261"/>
      </w:pPr>
      <w:rPr>
        <w:rFonts w:hint="default"/>
        <w:lang w:val="el-GR" w:eastAsia="en-US" w:bidi="ar-SA"/>
      </w:rPr>
    </w:lvl>
  </w:abstractNum>
  <w:abstractNum w:abstractNumId="29" w15:restartNumberingAfterBreak="0">
    <w:nsid w:val="529A3764"/>
    <w:multiLevelType w:val="hybridMultilevel"/>
    <w:tmpl w:val="9ED249BA"/>
    <w:lvl w:ilvl="0" w:tplc="0408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0" w15:restartNumberingAfterBreak="0">
    <w:nsid w:val="5353661C"/>
    <w:multiLevelType w:val="hybridMultilevel"/>
    <w:tmpl w:val="C9241FDE"/>
    <w:lvl w:ilvl="0" w:tplc="01D6C4F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6353F7"/>
    <w:multiLevelType w:val="hybridMultilevel"/>
    <w:tmpl w:val="2A9C2FEE"/>
    <w:lvl w:ilvl="0" w:tplc="F94A0D0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4C666A9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E54B92"/>
    <w:multiLevelType w:val="hybridMultilevel"/>
    <w:tmpl w:val="87121E6C"/>
    <w:lvl w:ilvl="0" w:tplc="7C787D88">
      <w:start w:val="1"/>
      <mc:AlternateContent>
        <mc:Choice Requires="w14">
          <w:numFmt w:val="custom" w:format="α, β, γ, ..."/>
        </mc:Choice>
        <mc:Fallback>
          <w:numFmt w:val="decimal"/>
        </mc:Fallback>
      </mc:AlternateContent>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9A577D"/>
    <w:multiLevelType w:val="hybridMultilevel"/>
    <w:tmpl w:val="9BF22988"/>
    <w:lvl w:ilvl="0" w:tplc="0408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4" w15:restartNumberingAfterBreak="0">
    <w:nsid w:val="564A0ECA"/>
    <w:multiLevelType w:val="hybridMultilevel"/>
    <w:tmpl w:val="9BF22988"/>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5" w15:restartNumberingAfterBreak="0">
    <w:nsid w:val="63951145"/>
    <w:multiLevelType w:val="hybridMultilevel"/>
    <w:tmpl w:val="547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33A86"/>
    <w:multiLevelType w:val="hybridMultilevel"/>
    <w:tmpl w:val="E6363D1E"/>
    <w:lvl w:ilvl="0" w:tplc="01D6C4F4">
      <w:start w:val="1"/>
      <mc:AlternateContent>
        <mc:Choice Requires="w14">
          <w:numFmt w:val="custom" w:format="α, β, γ, ..."/>
        </mc:Choice>
        <mc:Fallback>
          <w:numFmt w:val="decimal"/>
        </mc:Fallback>
      </mc:AlternateContent>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7" w15:restartNumberingAfterBreak="0">
    <w:nsid w:val="6A5E5A18"/>
    <w:multiLevelType w:val="hybridMultilevel"/>
    <w:tmpl w:val="31ACD94E"/>
    <w:lvl w:ilvl="0" w:tplc="F94A0D0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83ED1"/>
    <w:multiLevelType w:val="hybridMultilevel"/>
    <w:tmpl w:val="5F88565C"/>
    <w:lvl w:ilvl="0" w:tplc="65E8D02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41140"/>
    <w:multiLevelType w:val="hybridMultilevel"/>
    <w:tmpl w:val="3AB4755E"/>
    <w:lvl w:ilvl="0" w:tplc="F94A0D06">
      <w:start w:val="1"/>
      <mc:AlternateContent>
        <mc:Choice Requires="w14">
          <w:numFmt w:val="custom" w:format="α, β, γ, ..."/>
        </mc:Choice>
        <mc:Fallback>
          <w:numFmt w:val="decimal"/>
        </mc:Fallback>
      </mc:AlternateContent>
      <w:lvlText w:val="%1."/>
      <w:lvlJc w:val="left"/>
      <w:pPr>
        <w:ind w:left="1540" w:hanging="360"/>
      </w:pPr>
      <w:rPr>
        <w:rFonts w:hint="default"/>
        <w:b/>
        <w:bCs/>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0" w15:restartNumberingAfterBreak="0">
    <w:nsid w:val="708F7461"/>
    <w:multiLevelType w:val="hybridMultilevel"/>
    <w:tmpl w:val="9BF22988"/>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75D94FD7"/>
    <w:multiLevelType w:val="hybridMultilevel"/>
    <w:tmpl w:val="B18E3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33E31"/>
    <w:multiLevelType w:val="hybridMultilevel"/>
    <w:tmpl w:val="9F60D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531FB9"/>
    <w:multiLevelType w:val="hybridMultilevel"/>
    <w:tmpl w:val="DB2011BA"/>
    <w:lvl w:ilvl="0" w:tplc="04080013">
      <w:start w:val="1"/>
      <w:numFmt w:val="upperRoman"/>
      <w:lvlText w:val="%1."/>
      <w:lvlJc w:val="right"/>
      <w:pPr>
        <w:ind w:left="1080" w:hanging="360"/>
      </w:pPr>
    </w:lvl>
    <w:lvl w:ilvl="1" w:tplc="04080001">
      <w:start w:val="1"/>
      <w:numFmt w:val="bullet"/>
      <w:lvlText w:val=""/>
      <w:lvlJc w:val="left"/>
      <w:pPr>
        <w:ind w:left="1080" w:hanging="360"/>
      </w:pPr>
      <w:rPr>
        <w:rFonts w:ascii="Symbol" w:hAnsi="Symbol" w:hint="default"/>
      </w:r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44" w15:restartNumberingAfterBreak="0">
    <w:nsid w:val="7FE36E2B"/>
    <w:multiLevelType w:val="hybridMultilevel"/>
    <w:tmpl w:val="743E12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760946">
    <w:abstractNumId w:val="28"/>
  </w:num>
  <w:num w:numId="2" w16cid:durableId="1694263141">
    <w:abstractNumId w:val="19"/>
  </w:num>
  <w:num w:numId="3" w16cid:durableId="749158845">
    <w:abstractNumId w:val="4"/>
  </w:num>
  <w:num w:numId="4" w16cid:durableId="720785186">
    <w:abstractNumId w:val="44"/>
  </w:num>
  <w:num w:numId="5" w16cid:durableId="2083134531">
    <w:abstractNumId w:val="39"/>
  </w:num>
  <w:num w:numId="6" w16cid:durableId="9924">
    <w:abstractNumId w:val="35"/>
  </w:num>
  <w:num w:numId="7" w16cid:durableId="1606113704">
    <w:abstractNumId w:val="23"/>
  </w:num>
  <w:num w:numId="8" w16cid:durableId="2081323837">
    <w:abstractNumId w:val="17"/>
  </w:num>
  <w:num w:numId="9" w16cid:durableId="2056813615">
    <w:abstractNumId w:val="38"/>
  </w:num>
  <w:num w:numId="10" w16cid:durableId="1167936161">
    <w:abstractNumId w:val="32"/>
  </w:num>
  <w:num w:numId="11" w16cid:durableId="886524767">
    <w:abstractNumId w:val="30"/>
  </w:num>
  <w:num w:numId="12" w16cid:durableId="669723656">
    <w:abstractNumId w:val="36"/>
  </w:num>
  <w:num w:numId="13" w16cid:durableId="1382438555">
    <w:abstractNumId w:val="27"/>
  </w:num>
  <w:num w:numId="14" w16cid:durableId="333145567">
    <w:abstractNumId w:val="41"/>
  </w:num>
  <w:num w:numId="15" w16cid:durableId="592737685">
    <w:abstractNumId w:val="24"/>
  </w:num>
  <w:num w:numId="16" w16cid:durableId="859591384">
    <w:abstractNumId w:val="12"/>
  </w:num>
  <w:num w:numId="17" w16cid:durableId="1981301831">
    <w:abstractNumId w:val="3"/>
  </w:num>
  <w:num w:numId="18" w16cid:durableId="564295643">
    <w:abstractNumId w:val="18"/>
  </w:num>
  <w:num w:numId="19" w16cid:durableId="1622809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0382266">
    <w:abstractNumId w:val="43"/>
  </w:num>
  <w:num w:numId="21" w16cid:durableId="550575726">
    <w:abstractNumId w:val="29"/>
  </w:num>
  <w:num w:numId="22" w16cid:durableId="151070235">
    <w:abstractNumId w:val="33"/>
  </w:num>
  <w:num w:numId="23" w16cid:durableId="138965796">
    <w:abstractNumId w:val="40"/>
  </w:num>
  <w:num w:numId="24" w16cid:durableId="1922061208">
    <w:abstractNumId w:val="34"/>
  </w:num>
  <w:num w:numId="25" w16cid:durableId="977101901">
    <w:abstractNumId w:val="7"/>
  </w:num>
  <w:num w:numId="26" w16cid:durableId="961888982">
    <w:abstractNumId w:val="13"/>
  </w:num>
  <w:num w:numId="27" w16cid:durableId="1214998602">
    <w:abstractNumId w:val="6"/>
  </w:num>
  <w:num w:numId="28" w16cid:durableId="843475404">
    <w:abstractNumId w:val="9"/>
  </w:num>
  <w:num w:numId="29" w16cid:durableId="2062750014">
    <w:abstractNumId w:val="25"/>
  </w:num>
  <w:num w:numId="30" w16cid:durableId="417287022">
    <w:abstractNumId w:val="16"/>
  </w:num>
  <w:num w:numId="31" w16cid:durableId="72315190">
    <w:abstractNumId w:val="8"/>
  </w:num>
  <w:num w:numId="32" w16cid:durableId="958990752">
    <w:abstractNumId w:val="42"/>
  </w:num>
  <w:num w:numId="33" w16cid:durableId="1100641151">
    <w:abstractNumId w:val="14"/>
  </w:num>
  <w:num w:numId="34" w16cid:durableId="1574048775">
    <w:abstractNumId w:val="2"/>
  </w:num>
  <w:num w:numId="35" w16cid:durableId="1733498393">
    <w:abstractNumId w:val="1"/>
  </w:num>
  <w:num w:numId="36" w16cid:durableId="2020886260">
    <w:abstractNumId w:val="31"/>
  </w:num>
  <w:num w:numId="37" w16cid:durableId="1227685957">
    <w:abstractNumId w:val="26"/>
  </w:num>
  <w:num w:numId="38" w16cid:durableId="220869105">
    <w:abstractNumId w:val="10"/>
  </w:num>
  <w:num w:numId="39" w16cid:durableId="1503592657">
    <w:abstractNumId w:val="5"/>
  </w:num>
  <w:num w:numId="40" w16cid:durableId="1477918848">
    <w:abstractNumId w:val="15"/>
  </w:num>
  <w:num w:numId="41" w16cid:durableId="2091845715">
    <w:abstractNumId w:val="11"/>
  </w:num>
  <w:num w:numId="42" w16cid:durableId="2056656405">
    <w:abstractNumId w:val="37"/>
  </w:num>
  <w:num w:numId="43" w16cid:durableId="915943526">
    <w:abstractNumId w:val="0"/>
  </w:num>
  <w:num w:numId="44" w16cid:durableId="1682124433">
    <w:abstractNumId w:val="21"/>
  </w:num>
  <w:num w:numId="45" w16cid:durableId="1662461280">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TQ0MDU3tTQ3s7BQ0lEKTi0uzszPAykwrwUAGvD/fSwAAAA="/>
  </w:docVars>
  <w:rsids>
    <w:rsidRoot w:val="000546D5"/>
    <w:rsid w:val="00000BE7"/>
    <w:rsid w:val="00002E08"/>
    <w:rsid w:val="00003C82"/>
    <w:rsid w:val="00007074"/>
    <w:rsid w:val="00007102"/>
    <w:rsid w:val="0001073B"/>
    <w:rsid w:val="0001178B"/>
    <w:rsid w:val="0001260C"/>
    <w:rsid w:val="0001634E"/>
    <w:rsid w:val="0002022C"/>
    <w:rsid w:val="00023CBC"/>
    <w:rsid w:val="00023D6D"/>
    <w:rsid w:val="0002789A"/>
    <w:rsid w:val="00030572"/>
    <w:rsid w:val="00033393"/>
    <w:rsid w:val="00033DB5"/>
    <w:rsid w:val="00040011"/>
    <w:rsid w:val="0004003B"/>
    <w:rsid w:val="000401B1"/>
    <w:rsid w:val="00041C44"/>
    <w:rsid w:val="00041F47"/>
    <w:rsid w:val="000422E8"/>
    <w:rsid w:val="000459B6"/>
    <w:rsid w:val="0004603A"/>
    <w:rsid w:val="00052A0F"/>
    <w:rsid w:val="000546D5"/>
    <w:rsid w:val="00055D75"/>
    <w:rsid w:val="00057AAE"/>
    <w:rsid w:val="000660DA"/>
    <w:rsid w:val="00066364"/>
    <w:rsid w:val="00067BD3"/>
    <w:rsid w:val="00067F18"/>
    <w:rsid w:val="0007290D"/>
    <w:rsid w:val="00072C93"/>
    <w:rsid w:val="00081112"/>
    <w:rsid w:val="00082A29"/>
    <w:rsid w:val="000835F3"/>
    <w:rsid w:val="000842CE"/>
    <w:rsid w:val="00085B38"/>
    <w:rsid w:val="0009115A"/>
    <w:rsid w:val="00093A83"/>
    <w:rsid w:val="00093F7D"/>
    <w:rsid w:val="000A082E"/>
    <w:rsid w:val="000A1386"/>
    <w:rsid w:val="000A1BD8"/>
    <w:rsid w:val="000A2E6C"/>
    <w:rsid w:val="000A3750"/>
    <w:rsid w:val="000A58FE"/>
    <w:rsid w:val="000B0C95"/>
    <w:rsid w:val="000B1B60"/>
    <w:rsid w:val="000B46B6"/>
    <w:rsid w:val="000B55CB"/>
    <w:rsid w:val="000B7437"/>
    <w:rsid w:val="000C07CE"/>
    <w:rsid w:val="000C0E64"/>
    <w:rsid w:val="000C1ECD"/>
    <w:rsid w:val="000C4104"/>
    <w:rsid w:val="000D19AF"/>
    <w:rsid w:val="000D2F20"/>
    <w:rsid w:val="000D3DA8"/>
    <w:rsid w:val="000D3FD2"/>
    <w:rsid w:val="000D6DF5"/>
    <w:rsid w:val="000E27D3"/>
    <w:rsid w:val="000E4674"/>
    <w:rsid w:val="000E4D22"/>
    <w:rsid w:val="000F5211"/>
    <w:rsid w:val="000F5A92"/>
    <w:rsid w:val="000F661B"/>
    <w:rsid w:val="000F774F"/>
    <w:rsid w:val="001000EC"/>
    <w:rsid w:val="00100AF8"/>
    <w:rsid w:val="001076B9"/>
    <w:rsid w:val="00110388"/>
    <w:rsid w:val="00113001"/>
    <w:rsid w:val="00113DDC"/>
    <w:rsid w:val="001168ED"/>
    <w:rsid w:val="00117824"/>
    <w:rsid w:val="0012034B"/>
    <w:rsid w:val="00123882"/>
    <w:rsid w:val="00125746"/>
    <w:rsid w:val="0012672A"/>
    <w:rsid w:val="001308F2"/>
    <w:rsid w:val="00131ED8"/>
    <w:rsid w:val="00131F36"/>
    <w:rsid w:val="00135CD0"/>
    <w:rsid w:val="0014236A"/>
    <w:rsid w:val="001466D7"/>
    <w:rsid w:val="00151808"/>
    <w:rsid w:val="00154D93"/>
    <w:rsid w:val="00155253"/>
    <w:rsid w:val="001577EE"/>
    <w:rsid w:val="00160D17"/>
    <w:rsid w:val="00165D2F"/>
    <w:rsid w:val="00173D5C"/>
    <w:rsid w:val="00180A15"/>
    <w:rsid w:val="00181728"/>
    <w:rsid w:val="00182BCB"/>
    <w:rsid w:val="001842F3"/>
    <w:rsid w:val="00184FA0"/>
    <w:rsid w:val="0018699E"/>
    <w:rsid w:val="001914AD"/>
    <w:rsid w:val="001949FB"/>
    <w:rsid w:val="00195789"/>
    <w:rsid w:val="001A6C8E"/>
    <w:rsid w:val="001A781F"/>
    <w:rsid w:val="001B0ECB"/>
    <w:rsid w:val="001B17F9"/>
    <w:rsid w:val="001B2075"/>
    <w:rsid w:val="001B4B05"/>
    <w:rsid w:val="001C14A4"/>
    <w:rsid w:val="001C5D4D"/>
    <w:rsid w:val="001C6281"/>
    <w:rsid w:val="001D031C"/>
    <w:rsid w:val="001D091A"/>
    <w:rsid w:val="001D0E25"/>
    <w:rsid w:val="001D391F"/>
    <w:rsid w:val="001D65AC"/>
    <w:rsid w:val="001D69B1"/>
    <w:rsid w:val="001E0300"/>
    <w:rsid w:val="001E03B9"/>
    <w:rsid w:val="001E2C23"/>
    <w:rsid w:val="001E4418"/>
    <w:rsid w:val="001E472C"/>
    <w:rsid w:val="001E693C"/>
    <w:rsid w:val="001F0B8E"/>
    <w:rsid w:val="001F38DA"/>
    <w:rsid w:val="001F3B64"/>
    <w:rsid w:val="00201300"/>
    <w:rsid w:val="00201C3E"/>
    <w:rsid w:val="0020216F"/>
    <w:rsid w:val="00202927"/>
    <w:rsid w:val="00204358"/>
    <w:rsid w:val="002056B5"/>
    <w:rsid w:val="00206743"/>
    <w:rsid w:val="00211787"/>
    <w:rsid w:val="002119BD"/>
    <w:rsid w:val="00213A5F"/>
    <w:rsid w:val="00214E69"/>
    <w:rsid w:val="002156EB"/>
    <w:rsid w:val="00217DF1"/>
    <w:rsid w:val="0022074E"/>
    <w:rsid w:val="002215A7"/>
    <w:rsid w:val="00221FA7"/>
    <w:rsid w:val="0022278C"/>
    <w:rsid w:val="00222A52"/>
    <w:rsid w:val="0022617D"/>
    <w:rsid w:val="00226FED"/>
    <w:rsid w:val="002306A2"/>
    <w:rsid w:val="00231801"/>
    <w:rsid w:val="002325D6"/>
    <w:rsid w:val="00232909"/>
    <w:rsid w:val="00234A9A"/>
    <w:rsid w:val="00236600"/>
    <w:rsid w:val="00236D86"/>
    <w:rsid w:val="002377F0"/>
    <w:rsid w:val="00245906"/>
    <w:rsid w:val="00252B53"/>
    <w:rsid w:val="00255D89"/>
    <w:rsid w:val="002561EE"/>
    <w:rsid w:val="002566EC"/>
    <w:rsid w:val="002569AA"/>
    <w:rsid w:val="002603AD"/>
    <w:rsid w:val="002622C2"/>
    <w:rsid w:val="00264F14"/>
    <w:rsid w:val="0026590D"/>
    <w:rsid w:val="0026596F"/>
    <w:rsid w:val="00265ABE"/>
    <w:rsid w:val="002677A3"/>
    <w:rsid w:val="00270360"/>
    <w:rsid w:val="002708A7"/>
    <w:rsid w:val="00271500"/>
    <w:rsid w:val="002717FD"/>
    <w:rsid w:val="002729C4"/>
    <w:rsid w:val="00272D98"/>
    <w:rsid w:val="00274AEC"/>
    <w:rsid w:val="00274EA6"/>
    <w:rsid w:val="002834CA"/>
    <w:rsid w:val="00284F85"/>
    <w:rsid w:val="0029224F"/>
    <w:rsid w:val="00295C17"/>
    <w:rsid w:val="002A355D"/>
    <w:rsid w:val="002A4773"/>
    <w:rsid w:val="002A5892"/>
    <w:rsid w:val="002B173E"/>
    <w:rsid w:val="002B281F"/>
    <w:rsid w:val="002B3158"/>
    <w:rsid w:val="002B443F"/>
    <w:rsid w:val="002B6924"/>
    <w:rsid w:val="002C1F6A"/>
    <w:rsid w:val="002C36D3"/>
    <w:rsid w:val="002D4F13"/>
    <w:rsid w:val="002D610A"/>
    <w:rsid w:val="002D633E"/>
    <w:rsid w:val="002D6FE3"/>
    <w:rsid w:val="002D7ABA"/>
    <w:rsid w:val="002D7BC8"/>
    <w:rsid w:val="002E213D"/>
    <w:rsid w:val="002E30BD"/>
    <w:rsid w:val="002E430F"/>
    <w:rsid w:val="002E557B"/>
    <w:rsid w:val="002E6949"/>
    <w:rsid w:val="002F1B98"/>
    <w:rsid w:val="002F56DD"/>
    <w:rsid w:val="002F67D4"/>
    <w:rsid w:val="002F6904"/>
    <w:rsid w:val="003032CB"/>
    <w:rsid w:val="003063CA"/>
    <w:rsid w:val="003110FE"/>
    <w:rsid w:val="00311952"/>
    <w:rsid w:val="00313F8C"/>
    <w:rsid w:val="00316007"/>
    <w:rsid w:val="003163F6"/>
    <w:rsid w:val="00317895"/>
    <w:rsid w:val="00320C04"/>
    <w:rsid w:val="003212AB"/>
    <w:rsid w:val="00322D8F"/>
    <w:rsid w:val="00323221"/>
    <w:rsid w:val="00326765"/>
    <w:rsid w:val="003318E3"/>
    <w:rsid w:val="00332929"/>
    <w:rsid w:val="0033430B"/>
    <w:rsid w:val="0033600E"/>
    <w:rsid w:val="0033665B"/>
    <w:rsid w:val="00336EC4"/>
    <w:rsid w:val="00337D03"/>
    <w:rsid w:val="00352327"/>
    <w:rsid w:val="0035266B"/>
    <w:rsid w:val="003538DE"/>
    <w:rsid w:val="00353AF7"/>
    <w:rsid w:val="00353EA9"/>
    <w:rsid w:val="00354C65"/>
    <w:rsid w:val="00356FCB"/>
    <w:rsid w:val="0036050C"/>
    <w:rsid w:val="003610D5"/>
    <w:rsid w:val="003620E5"/>
    <w:rsid w:val="00362DA5"/>
    <w:rsid w:val="00363230"/>
    <w:rsid w:val="00363717"/>
    <w:rsid w:val="00365428"/>
    <w:rsid w:val="003673E0"/>
    <w:rsid w:val="00370D27"/>
    <w:rsid w:val="003716CD"/>
    <w:rsid w:val="00374FE3"/>
    <w:rsid w:val="003755B7"/>
    <w:rsid w:val="00377AC0"/>
    <w:rsid w:val="00377EF8"/>
    <w:rsid w:val="003801BC"/>
    <w:rsid w:val="00380349"/>
    <w:rsid w:val="003803D4"/>
    <w:rsid w:val="00380FB1"/>
    <w:rsid w:val="00384311"/>
    <w:rsid w:val="00386F3B"/>
    <w:rsid w:val="00387006"/>
    <w:rsid w:val="003907F0"/>
    <w:rsid w:val="003915E7"/>
    <w:rsid w:val="00393088"/>
    <w:rsid w:val="00393E05"/>
    <w:rsid w:val="00395636"/>
    <w:rsid w:val="00397212"/>
    <w:rsid w:val="003A1D85"/>
    <w:rsid w:val="003A2B56"/>
    <w:rsid w:val="003A42D1"/>
    <w:rsid w:val="003A6862"/>
    <w:rsid w:val="003A6C11"/>
    <w:rsid w:val="003A7CCC"/>
    <w:rsid w:val="003B00BA"/>
    <w:rsid w:val="003B02F6"/>
    <w:rsid w:val="003B1E7E"/>
    <w:rsid w:val="003B6881"/>
    <w:rsid w:val="003C056A"/>
    <w:rsid w:val="003C3432"/>
    <w:rsid w:val="003C61F7"/>
    <w:rsid w:val="003C7A96"/>
    <w:rsid w:val="003C7F92"/>
    <w:rsid w:val="003D268D"/>
    <w:rsid w:val="003D298C"/>
    <w:rsid w:val="003D4699"/>
    <w:rsid w:val="003D47F4"/>
    <w:rsid w:val="003D48DE"/>
    <w:rsid w:val="003D522B"/>
    <w:rsid w:val="003D7283"/>
    <w:rsid w:val="003E23D0"/>
    <w:rsid w:val="003E30BB"/>
    <w:rsid w:val="003E3A04"/>
    <w:rsid w:val="003E6EB7"/>
    <w:rsid w:val="003F0A0E"/>
    <w:rsid w:val="003F0DAE"/>
    <w:rsid w:val="003F26A5"/>
    <w:rsid w:val="003F3B22"/>
    <w:rsid w:val="003F3C03"/>
    <w:rsid w:val="003F4884"/>
    <w:rsid w:val="003F4AF5"/>
    <w:rsid w:val="003F50FD"/>
    <w:rsid w:val="003F598B"/>
    <w:rsid w:val="003F654D"/>
    <w:rsid w:val="003F6B7D"/>
    <w:rsid w:val="003F74E2"/>
    <w:rsid w:val="003F796A"/>
    <w:rsid w:val="00401D60"/>
    <w:rsid w:val="00402275"/>
    <w:rsid w:val="00403B0E"/>
    <w:rsid w:val="004055AE"/>
    <w:rsid w:val="00407EE5"/>
    <w:rsid w:val="00410132"/>
    <w:rsid w:val="004115FC"/>
    <w:rsid w:val="0041182A"/>
    <w:rsid w:val="0041217A"/>
    <w:rsid w:val="00413129"/>
    <w:rsid w:val="00417B88"/>
    <w:rsid w:val="00422858"/>
    <w:rsid w:val="00422BF5"/>
    <w:rsid w:val="00422D7F"/>
    <w:rsid w:val="0042357F"/>
    <w:rsid w:val="00423970"/>
    <w:rsid w:val="00427631"/>
    <w:rsid w:val="004303AE"/>
    <w:rsid w:val="004307A3"/>
    <w:rsid w:val="004339F5"/>
    <w:rsid w:val="00434375"/>
    <w:rsid w:val="0043505A"/>
    <w:rsid w:val="00435A88"/>
    <w:rsid w:val="0044182B"/>
    <w:rsid w:val="0044340A"/>
    <w:rsid w:val="00445B18"/>
    <w:rsid w:val="00447231"/>
    <w:rsid w:val="00454873"/>
    <w:rsid w:val="00454DEB"/>
    <w:rsid w:val="00457BA3"/>
    <w:rsid w:val="00462F60"/>
    <w:rsid w:val="004637A4"/>
    <w:rsid w:val="00464704"/>
    <w:rsid w:val="00466B42"/>
    <w:rsid w:val="0047041D"/>
    <w:rsid w:val="00470445"/>
    <w:rsid w:val="00475AA5"/>
    <w:rsid w:val="00475C11"/>
    <w:rsid w:val="004770B3"/>
    <w:rsid w:val="00477CAE"/>
    <w:rsid w:val="00480B64"/>
    <w:rsid w:val="00480F4B"/>
    <w:rsid w:val="00482AF2"/>
    <w:rsid w:val="004831F7"/>
    <w:rsid w:val="00487370"/>
    <w:rsid w:val="00490BC4"/>
    <w:rsid w:val="00490E57"/>
    <w:rsid w:val="00492CD5"/>
    <w:rsid w:val="004930E3"/>
    <w:rsid w:val="004942B7"/>
    <w:rsid w:val="004944FD"/>
    <w:rsid w:val="004975FC"/>
    <w:rsid w:val="004979B5"/>
    <w:rsid w:val="00497B2F"/>
    <w:rsid w:val="004A10AA"/>
    <w:rsid w:val="004A1336"/>
    <w:rsid w:val="004A1883"/>
    <w:rsid w:val="004A561F"/>
    <w:rsid w:val="004B0894"/>
    <w:rsid w:val="004B125C"/>
    <w:rsid w:val="004B25F5"/>
    <w:rsid w:val="004B6BDF"/>
    <w:rsid w:val="004B7C60"/>
    <w:rsid w:val="004B7EE9"/>
    <w:rsid w:val="004C0A30"/>
    <w:rsid w:val="004C1283"/>
    <w:rsid w:val="004C1CCA"/>
    <w:rsid w:val="004C42A3"/>
    <w:rsid w:val="004C7335"/>
    <w:rsid w:val="004C7727"/>
    <w:rsid w:val="004D20F1"/>
    <w:rsid w:val="004D5788"/>
    <w:rsid w:val="004D58A0"/>
    <w:rsid w:val="004D5AB6"/>
    <w:rsid w:val="004D5E3C"/>
    <w:rsid w:val="004D6DB1"/>
    <w:rsid w:val="004E7B57"/>
    <w:rsid w:val="004F0A35"/>
    <w:rsid w:val="004F1DC3"/>
    <w:rsid w:val="004F228C"/>
    <w:rsid w:val="004F45AF"/>
    <w:rsid w:val="004F570F"/>
    <w:rsid w:val="00502AC2"/>
    <w:rsid w:val="005032CF"/>
    <w:rsid w:val="0051228D"/>
    <w:rsid w:val="00515203"/>
    <w:rsid w:val="005170B8"/>
    <w:rsid w:val="00520025"/>
    <w:rsid w:val="00520D32"/>
    <w:rsid w:val="005253C3"/>
    <w:rsid w:val="00525665"/>
    <w:rsid w:val="00527BF3"/>
    <w:rsid w:val="0053099D"/>
    <w:rsid w:val="0053115E"/>
    <w:rsid w:val="0053295C"/>
    <w:rsid w:val="00535194"/>
    <w:rsid w:val="00535299"/>
    <w:rsid w:val="0053610E"/>
    <w:rsid w:val="005363C0"/>
    <w:rsid w:val="00537F1E"/>
    <w:rsid w:val="00542CC9"/>
    <w:rsid w:val="00545DB4"/>
    <w:rsid w:val="00547C64"/>
    <w:rsid w:val="005503C5"/>
    <w:rsid w:val="005613FE"/>
    <w:rsid w:val="00566EE5"/>
    <w:rsid w:val="005676F6"/>
    <w:rsid w:val="00570DFE"/>
    <w:rsid w:val="0057118D"/>
    <w:rsid w:val="00572336"/>
    <w:rsid w:val="00575BE5"/>
    <w:rsid w:val="0057697D"/>
    <w:rsid w:val="00576BED"/>
    <w:rsid w:val="00580DFA"/>
    <w:rsid w:val="005820B1"/>
    <w:rsid w:val="00582616"/>
    <w:rsid w:val="00583F95"/>
    <w:rsid w:val="005841FA"/>
    <w:rsid w:val="005842AA"/>
    <w:rsid w:val="00586C2C"/>
    <w:rsid w:val="00587485"/>
    <w:rsid w:val="0059051A"/>
    <w:rsid w:val="00590FE6"/>
    <w:rsid w:val="00595D45"/>
    <w:rsid w:val="005A35D4"/>
    <w:rsid w:val="005A453D"/>
    <w:rsid w:val="005A4EE1"/>
    <w:rsid w:val="005B00A3"/>
    <w:rsid w:val="005B09DD"/>
    <w:rsid w:val="005B343A"/>
    <w:rsid w:val="005B6E7F"/>
    <w:rsid w:val="005B768F"/>
    <w:rsid w:val="005C03D2"/>
    <w:rsid w:val="005C0543"/>
    <w:rsid w:val="005C1184"/>
    <w:rsid w:val="005C2EA4"/>
    <w:rsid w:val="005C48E4"/>
    <w:rsid w:val="005C4D5B"/>
    <w:rsid w:val="005C5C38"/>
    <w:rsid w:val="005C79E5"/>
    <w:rsid w:val="005D1A14"/>
    <w:rsid w:val="005D7E6C"/>
    <w:rsid w:val="005E0984"/>
    <w:rsid w:val="005E29B6"/>
    <w:rsid w:val="005E2A0D"/>
    <w:rsid w:val="005E4519"/>
    <w:rsid w:val="005E4BA6"/>
    <w:rsid w:val="005E680E"/>
    <w:rsid w:val="005E68BA"/>
    <w:rsid w:val="005F0C45"/>
    <w:rsid w:val="005F1071"/>
    <w:rsid w:val="005F10E5"/>
    <w:rsid w:val="005F303A"/>
    <w:rsid w:val="005F372F"/>
    <w:rsid w:val="005F4563"/>
    <w:rsid w:val="005F4737"/>
    <w:rsid w:val="006014C9"/>
    <w:rsid w:val="006018CD"/>
    <w:rsid w:val="006030E1"/>
    <w:rsid w:val="00605005"/>
    <w:rsid w:val="00605EB9"/>
    <w:rsid w:val="0061044B"/>
    <w:rsid w:val="00614FF9"/>
    <w:rsid w:val="00617C6A"/>
    <w:rsid w:val="006222F6"/>
    <w:rsid w:val="00625075"/>
    <w:rsid w:val="00630815"/>
    <w:rsid w:val="00632041"/>
    <w:rsid w:val="006332FA"/>
    <w:rsid w:val="00633685"/>
    <w:rsid w:val="00633DC6"/>
    <w:rsid w:val="006401A2"/>
    <w:rsid w:val="006405D1"/>
    <w:rsid w:val="006525D2"/>
    <w:rsid w:val="0065260A"/>
    <w:rsid w:val="0065432C"/>
    <w:rsid w:val="00655500"/>
    <w:rsid w:val="00663497"/>
    <w:rsid w:val="00663E39"/>
    <w:rsid w:val="00664D3D"/>
    <w:rsid w:val="006679CF"/>
    <w:rsid w:val="00672193"/>
    <w:rsid w:val="006735F6"/>
    <w:rsid w:val="00673F69"/>
    <w:rsid w:val="00677DDF"/>
    <w:rsid w:val="00680F37"/>
    <w:rsid w:val="00681545"/>
    <w:rsid w:val="006821F5"/>
    <w:rsid w:val="006827BF"/>
    <w:rsid w:val="006836DA"/>
    <w:rsid w:val="006839B4"/>
    <w:rsid w:val="00687C89"/>
    <w:rsid w:val="00690352"/>
    <w:rsid w:val="00690BA9"/>
    <w:rsid w:val="00693070"/>
    <w:rsid w:val="006968AF"/>
    <w:rsid w:val="006973E0"/>
    <w:rsid w:val="006975A2"/>
    <w:rsid w:val="006A185C"/>
    <w:rsid w:val="006A19B5"/>
    <w:rsid w:val="006A1FEE"/>
    <w:rsid w:val="006A489E"/>
    <w:rsid w:val="006A5B8F"/>
    <w:rsid w:val="006A60F3"/>
    <w:rsid w:val="006A7413"/>
    <w:rsid w:val="006A799B"/>
    <w:rsid w:val="006B0A8F"/>
    <w:rsid w:val="006B5994"/>
    <w:rsid w:val="006B5D75"/>
    <w:rsid w:val="006C1230"/>
    <w:rsid w:val="006C296B"/>
    <w:rsid w:val="006C3240"/>
    <w:rsid w:val="006C3E9D"/>
    <w:rsid w:val="006C6367"/>
    <w:rsid w:val="006D0359"/>
    <w:rsid w:val="006E1573"/>
    <w:rsid w:val="006E1EDD"/>
    <w:rsid w:val="006E318A"/>
    <w:rsid w:val="006F010B"/>
    <w:rsid w:val="006F014E"/>
    <w:rsid w:val="006F5BD8"/>
    <w:rsid w:val="006F7390"/>
    <w:rsid w:val="00700038"/>
    <w:rsid w:val="007020EF"/>
    <w:rsid w:val="007028B7"/>
    <w:rsid w:val="00705911"/>
    <w:rsid w:val="00707792"/>
    <w:rsid w:val="00707B73"/>
    <w:rsid w:val="0071015E"/>
    <w:rsid w:val="00710363"/>
    <w:rsid w:val="00711718"/>
    <w:rsid w:val="00713CA4"/>
    <w:rsid w:val="00714BA4"/>
    <w:rsid w:val="00714E9A"/>
    <w:rsid w:val="00715370"/>
    <w:rsid w:val="00716C4F"/>
    <w:rsid w:val="00717B8C"/>
    <w:rsid w:val="0072595A"/>
    <w:rsid w:val="00725EEA"/>
    <w:rsid w:val="007311A9"/>
    <w:rsid w:val="00732BD2"/>
    <w:rsid w:val="00733B6B"/>
    <w:rsid w:val="00733E81"/>
    <w:rsid w:val="0073415C"/>
    <w:rsid w:val="00735BC1"/>
    <w:rsid w:val="007369A7"/>
    <w:rsid w:val="00742B68"/>
    <w:rsid w:val="00746090"/>
    <w:rsid w:val="00750B04"/>
    <w:rsid w:val="00751D33"/>
    <w:rsid w:val="00754655"/>
    <w:rsid w:val="00755B98"/>
    <w:rsid w:val="0076376C"/>
    <w:rsid w:val="00764610"/>
    <w:rsid w:val="00767602"/>
    <w:rsid w:val="00770C03"/>
    <w:rsid w:val="0077113B"/>
    <w:rsid w:val="00771240"/>
    <w:rsid w:val="00772288"/>
    <w:rsid w:val="0077244E"/>
    <w:rsid w:val="007735FB"/>
    <w:rsid w:val="007745F3"/>
    <w:rsid w:val="00777702"/>
    <w:rsid w:val="00780BE1"/>
    <w:rsid w:val="00784BCE"/>
    <w:rsid w:val="00786803"/>
    <w:rsid w:val="007868F9"/>
    <w:rsid w:val="00786D83"/>
    <w:rsid w:val="00790AC7"/>
    <w:rsid w:val="0079152E"/>
    <w:rsid w:val="007923A8"/>
    <w:rsid w:val="00792F7B"/>
    <w:rsid w:val="00793AA2"/>
    <w:rsid w:val="0079436E"/>
    <w:rsid w:val="00796239"/>
    <w:rsid w:val="007A0125"/>
    <w:rsid w:val="007A0B4F"/>
    <w:rsid w:val="007A3E7A"/>
    <w:rsid w:val="007B1F0C"/>
    <w:rsid w:val="007B3851"/>
    <w:rsid w:val="007B74FC"/>
    <w:rsid w:val="007C0935"/>
    <w:rsid w:val="007C0E02"/>
    <w:rsid w:val="007C18BC"/>
    <w:rsid w:val="007C2C9E"/>
    <w:rsid w:val="007C3099"/>
    <w:rsid w:val="007C466A"/>
    <w:rsid w:val="007C4F95"/>
    <w:rsid w:val="007C5F30"/>
    <w:rsid w:val="007C6BE7"/>
    <w:rsid w:val="007C70C2"/>
    <w:rsid w:val="007D256F"/>
    <w:rsid w:val="007D509F"/>
    <w:rsid w:val="007D5861"/>
    <w:rsid w:val="007E0071"/>
    <w:rsid w:val="007E013B"/>
    <w:rsid w:val="007E381F"/>
    <w:rsid w:val="007E3CBF"/>
    <w:rsid w:val="007E7FFC"/>
    <w:rsid w:val="007F05FD"/>
    <w:rsid w:val="007F088B"/>
    <w:rsid w:val="007F0D69"/>
    <w:rsid w:val="007F284A"/>
    <w:rsid w:val="007F4DBC"/>
    <w:rsid w:val="007F4EE0"/>
    <w:rsid w:val="007F6109"/>
    <w:rsid w:val="007F78F0"/>
    <w:rsid w:val="007F7991"/>
    <w:rsid w:val="00800FA5"/>
    <w:rsid w:val="0080118B"/>
    <w:rsid w:val="00801954"/>
    <w:rsid w:val="00802C31"/>
    <w:rsid w:val="00803F39"/>
    <w:rsid w:val="008048DF"/>
    <w:rsid w:val="0081047D"/>
    <w:rsid w:val="00813318"/>
    <w:rsid w:val="00813B51"/>
    <w:rsid w:val="00813F60"/>
    <w:rsid w:val="0081578F"/>
    <w:rsid w:val="00817B89"/>
    <w:rsid w:val="00820759"/>
    <w:rsid w:val="00821073"/>
    <w:rsid w:val="0082131F"/>
    <w:rsid w:val="008224E6"/>
    <w:rsid w:val="0082481C"/>
    <w:rsid w:val="00824C17"/>
    <w:rsid w:val="008267AC"/>
    <w:rsid w:val="0083070E"/>
    <w:rsid w:val="008313C0"/>
    <w:rsid w:val="00832258"/>
    <w:rsid w:val="008350FE"/>
    <w:rsid w:val="00835663"/>
    <w:rsid w:val="008366F7"/>
    <w:rsid w:val="008373F2"/>
    <w:rsid w:val="008422F8"/>
    <w:rsid w:val="00843E55"/>
    <w:rsid w:val="00845F61"/>
    <w:rsid w:val="00847809"/>
    <w:rsid w:val="00856EDC"/>
    <w:rsid w:val="008571B5"/>
    <w:rsid w:val="00860925"/>
    <w:rsid w:val="00860EF9"/>
    <w:rsid w:val="00861E3E"/>
    <w:rsid w:val="00861FC1"/>
    <w:rsid w:val="0086351F"/>
    <w:rsid w:val="0086360F"/>
    <w:rsid w:val="00865CF3"/>
    <w:rsid w:val="00866C6B"/>
    <w:rsid w:val="00867848"/>
    <w:rsid w:val="0087425F"/>
    <w:rsid w:val="0088015A"/>
    <w:rsid w:val="0088111E"/>
    <w:rsid w:val="00881D1C"/>
    <w:rsid w:val="00884CA5"/>
    <w:rsid w:val="00885D47"/>
    <w:rsid w:val="00885E9E"/>
    <w:rsid w:val="00894383"/>
    <w:rsid w:val="00895676"/>
    <w:rsid w:val="00896964"/>
    <w:rsid w:val="008A16CF"/>
    <w:rsid w:val="008A2D6B"/>
    <w:rsid w:val="008A44FE"/>
    <w:rsid w:val="008B2AD1"/>
    <w:rsid w:val="008B320A"/>
    <w:rsid w:val="008B3EB2"/>
    <w:rsid w:val="008B4F43"/>
    <w:rsid w:val="008C21A7"/>
    <w:rsid w:val="008C2ED8"/>
    <w:rsid w:val="008C4508"/>
    <w:rsid w:val="008C6378"/>
    <w:rsid w:val="008D28CD"/>
    <w:rsid w:val="008D4540"/>
    <w:rsid w:val="008D642E"/>
    <w:rsid w:val="008D799C"/>
    <w:rsid w:val="008E440D"/>
    <w:rsid w:val="008E6806"/>
    <w:rsid w:val="008F4419"/>
    <w:rsid w:val="008F4ABF"/>
    <w:rsid w:val="008F4D92"/>
    <w:rsid w:val="008F67BA"/>
    <w:rsid w:val="008F6B86"/>
    <w:rsid w:val="00910599"/>
    <w:rsid w:val="009115E6"/>
    <w:rsid w:val="00911A96"/>
    <w:rsid w:val="0091350F"/>
    <w:rsid w:val="009140B7"/>
    <w:rsid w:val="00914DC3"/>
    <w:rsid w:val="00916114"/>
    <w:rsid w:val="00916E2A"/>
    <w:rsid w:val="00923E5B"/>
    <w:rsid w:val="00930340"/>
    <w:rsid w:val="009315F1"/>
    <w:rsid w:val="009334B7"/>
    <w:rsid w:val="00935992"/>
    <w:rsid w:val="00935A4E"/>
    <w:rsid w:val="00937358"/>
    <w:rsid w:val="0093738E"/>
    <w:rsid w:val="009405A0"/>
    <w:rsid w:val="00941D81"/>
    <w:rsid w:val="009469E3"/>
    <w:rsid w:val="00953F70"/>
    <w:rsid w:val="00954413"/>
    <w:rsid w:val="009564C3"/>
    <w:rsid w:val="00956C01"/>
    <w:rsid w:val="00956DD3"/>
    <w:rsid w:val="00957F39"/>
    <w:rsid w:val="009600E7"/>
    <w:rsid w:val="00960FA8"/>
    <w:rsid w:val="00962334"/>
    <w:rsid w:val="00963BC6"/>
    <w:rsid w:val="00964A6C"/>
    <w:rsid w:val="009655EF"/>
    <w:rsid w:val="00970993"/>
    <w:rsid w:val="00973F83"/>
    <w:rsid w:val="00974177"/>
    <w:rsid w:val="00975DE5"/>
    <w:rsid w:val="00976356"/>
    <w:rsid w:val="009807AC"/>
    <w:rsid w:val="00980D9F"/>
    <w:rsid w:val="00981961"/>
    <w:rsid w:val="0098386B"/>
    <w:rsid w:val="009853BA"/>
    <w:rsid w:val="00985446"/>
    <w:rsid w:val="009864A8"/>
    <w:rsid w:val="00987568"/>
    <w:rsid w:val="00987DD8"/>
    <w:rsid w:val="00990179"/>
    <w:rsid w:val="009918FA"/>
    <w:rsid w:val="00991AF6"/>
    <w:rsid w:val="00992742"/>
    <w:rsid w:val="00992F7A"/>
    <w:rsid w:val="009946E1"/>
    <w:rsid w:val="009976D0"/>
    <w:rsid w:val="009A0471"/>
    <w:rsid w:val="009A0818"/>
    <w:rsid w:val="009A09BD"/>
    <w:rsid w:val="009A2353"/>
    <w:rsid w:val="009A3B20"/>
    <w:rsid w:val="009A3D33"/>
    <w:rsid w:val="009A7CFC"/>
    <w:rsid w:val="009B1D18"/>
    <w:rsid w:val="009B50C8"/>
    <w:rsid w:val="009B5ABA"/>
    <w:rsid w:val="009B5FBA"/>
    <w:rsid w:val="009B723C"/>
    <w:rsid w:val="009C2007"/>
    <w:rsid w:val="009C4570"/>
    <w:rsid w:val="009C580B"/>
    <w:rsid w:val="009C65CC"/>
    <w:rsid w:val="009D5D41"/>
    <w:rsid w:val="009E40A3"/>
    <w:rsid w:val="009E4DA1"/>
    <w:rsid w:val="009E4DC1"/>
    <w:rsid w:val="009E6D7D"/>
    <w:rsid w:val="009F428D"/>
    <w:rsid w:val="009F42E7"/>
    <w:rsid w:val="009F4B4C"/>
    <w:rsid w:val="009F5634"/>
    <w:rsid w:val="009F5787"/>
    <w:rsid w:val="009F7199"/>
    <w:rsid w:val="009F71A2"/>
    <w:rsid w:val="00A0084D"/>
    <w:rsid w:val="00A045D5"/>
    <w:rsid w:val="00A059D4"/>
    <w:rsid w:val="00A07986"/>
    <w:rsid w:val="00A11BC0"/>
    <w:rsid w:val="00A12A56"/>
    <w:rsid w:val="00A1529A"/>
    <w:rsid w:val="00A23B1E"/>
    <w:rsid w:val="00A24007"/>
    <w:rsid w:val="00A243E5"/>
    <w:rsid w:val="00A24D2D"/>
    <w:rsid w:val="00A263DF"/>
    <w:rsid w:val="00A2706D"/>
    <w:rsid w:val="00A2765D"/>
    <w:rsid w:val="00A312D5"/>
    <w:rsid w:val="00A334D5"/>
    <w:rsid w:val="00A362A3"/>
    <w:rsid w:val="00A42754"/>
    <w:rsid w:val="00A4330D"/>
    <w:rsid w:val="00A45625"/>
    <w:rsid w:val="00A474DE"/>
    <w:rsid w:val="00A4752D"/>
    <w:rsid w:val="00A47685"/>
    <w:rsid w:val="00A47C30"/>
    <w:rsid w:val="00A5045F"/>
    <w:rsid w:val="00A508E3"/>
    <w:rsid w:val="00A50C75"/>
    <w:rsid w:val="00A51389"/>
    <w:rsid w:val="00A522C6"/>
    <w:rsid w:val="00A52C32"/>
    <w:rsid w:val="00A54397"/>
    <w:rsid w:val="00A54612"/>
    <w:rsid w:val="00A5628C"/>
    <w:rsid w:val="00A57584"/>
    <w:rsid w:val="00A619BD"/>
    <w:rsid w:val="00A63BAB"/>
    <w:rsid w:val="00A64FC8"/>
    <w:rsid w:val="00A7306F"/>
    <w:rsid w:val="00A737D6"/>
    <w:rsid w:val="00A75050"/>
    <w:rsid w:val="00A75131"/>
    <w:rsid w:val="00A769EC"/>
    <w:rsid w:val="00A8058E"/>
    <w:rsid w:val="00A812E8"/>
    <w:rsid w:val="00A825C5"/>
    <w:rsid w:val="00A83F99"/>
    <w:rsid w:val="00A924E6"/>
    <w:rsid w:val="00A943D1"/>
    <w:rsid w:val="00A949A6"/>
    <w:rsid w:val="00A955D4"/>
    <w:rsid w:val="00AA1000"/>
    <w:rsid w:val="00AA26AA"/>
    <w:rsid w:val="00AA2AEF"/>
    <w:rsid w:val="00AB026C"/>
    <w:rsid w:val="00AB393D"/>
    <w:rsid w:val="00AB688A"/>
    <w:rsid w:val="00AB7277"/>
    <w:rsid w:val="00AC074F"/>
    <w:rsid w:val="00AC289F"/>
    <w:rsid w:val="00AC2ECC"/>
    <w:rsid w:val="00AC35F6"/>
    <w:rsid w:val="00AC562C"/>
    <w:rsid w:val="00AC5682"/>
    <w:rsid w:val="00AC70D3"/>
    <w:rsid w:val="00AC7BB0"/>
    <w:rsid w:val="00AD0F1A"/>
    <w:rsid w:val="00AD1040"/>
    <w:rsid w:val="00AD2157"/>
    <w:rsid w:val="00AD22DD"/>
    <w:rsid w:val="00AD2DB3"/>
    <w:rsid w:val="00AD6F93"/>
    <w:rsid w:val="00AE0827"/>
    <w:rsid w:val="00AE5EB7"/>
    <w:rsid w:val="00AE6083"/>
    <w:rsid w:val="00AF1498"/>
    <w:rsid w:val="00AF3653"/>
    <w:rsid w:val="00AF3987"/>
    <w:rsid w:val="00AF58B4"/>
    <w:rsid w:val="00AF69B3"/>
    <w:rsid w:val="00AF709C"/>
    <w:rsid w:val="00B01270"/>
    <w:rsid w:val="00B0141B"/>
    <w:rsid w:val="00B018FC"/>
    <w:rsid w:val="00B02AE8"/>
    <w:rsid w:val="00B030D6"/>
    <w:rsid w:val="00B03B09"/>
    <w:rsid w:val="00B05047"/>
    <w:rsid w:val="00B07148"/>
    <w:rsid w:val="00B075E6"/>
    <w:rsid w:val="00B142BF"/>
    <w:rsid w:val="00B15EC6"/>
    <w:rsid w:val="00B16F46"/>
    <w:rsid w:val="00B20E36"/>
    <w:rsid w:val="00B21857"/>
    <w:rsid w:val="00B24019"/>
    <w:rsid w:val="00B245F1"/>
    <w:rsid w:val="00B265C7"/>
    <w:rsid w:val="00B27F7F"/>
    <w:rsid w:val="00B31878"/>
    <w:rsid w:val="00B32C67"/>
    <w:rsid w:val="00B35460"/>
    <w:rsid w:val="00B36F96"/>
    <w:rsid w:val="00B427BA"/>
    <w:rsid w:val="00B47603"/>
    <w:rsid w:val="00B4787D"/>
    <w:rsid w:val="00B47C79"/>
    <w:rsid w:val="00B50284"/>
    <w:rsid w:val="00B51069"/>
    <w:rsid w:val="00B63493"/>
    <w:rsid w:val="00B63721"/>
    <w:rsid w:val="00B63BB9"/>
    <w:rsid w:val="00B63D9D"/>
    <w:rsid w:val="00B64EC0"/>
    <w:rsid w:val="00B671D5"/>
    <w:rsid w:val="00B678CB"/>
    <w:rsid w:val="00B72E45"/>
    <w:rsid w:val="00B75370"/>
    <w:rsid w:val="00B770A9"/>
    <w:rsid w:val="00B7725D"/>
    <w:rsid w:val="00B8089B"/>
    <w:rsid w:val="00B82FE3"/>
    <w:rsid w:val="00B8475C"/>
    <w:rsid w:val="00B90039"/>
    <w:rsid w:val="00B95A9E"/>
    <w:rsid w:val="00B964A3"/>
    <w:rsid w:val="00BA48F5"/>
    <w:rsid w:val="00BA6051"/>
    <w:rsid w:val="00BA68F9"/>
    <w:rsid w:val="00BA6B8A"/>
    <w:rsid w:val="00BB0225"/>
    <w:rsid w:val="00BB1AF9"/>
    <w:rsid w:val="00BB1B69"/>
    <w:rsid w:val="00BB4304"/>
    <w:rsid w:val="00BB4C28"/>
    <w:rsid w:val="00BC368C"/>
    <w:rsid w:val="00BC3FC1"/>
    <w:rsid w:val="00BC4424"/>
    <w:rsid w:val="00BC7717"/>
    <w:rsid w:val="00BD187E"/>
    <w:rsid w:val="00BD228E"/>
    <w:rsid w:val="00BD33A7"/>
    <w:rsid w:val="00BD3584"/>
    <w:rsid w:val="00BD4DAD"/>
    <w:rsid w:val="00BD7A7D"/>
    <w:rsid w:val="00BE0E73"/>
    <w:rsid w:val="00BE19C5"/>
    <w:rsid w:val="00BE26A8"/>
    <w:rsid w:val="00BE451E"/>
    <w:rsid w:val="00BE4E1D"/>
    <w:rsid w:val="00BE5835"/>
    <w:rsid w:val="00BE6C6F"/>
    <w:rsid w:val="00BF0EA9"/>
    <w:rsid w:val="00BF1FB3"/>
    <w:rsid w:val="00BF52F2"/>
    <w:rsid w:val="00BF5FC3"/>
    <w:rsid w:val="00BF7D64"/>
    <w:rsid w:val="00C05DFB"/>
    <w:rsid w:val="00C069AF"/>
    <w:rsid w:val="00C104AC"/>
    <w:rsid w:val="00C10FAE"/>
    <w:rsid w:val="00C11F23"/>
    <w:rsid w:val="00C138F5"/>
    <w:rsid w:val="00C1644C"/>
    <w:rsid w:val="00C17437"/>
    <w:rsid w:val="00C174C0"/>
    <w:rsid w:val="00C23138"/>
    <w:rsid w:val="00C2626C"/>
    <w:rsid w:val="00C33066"/>
    <w:rsid w:val="00C34FA4"/>
    <w:rsid w:val="00C3654A"/>
    <w:rsid w:val="00C4191E"/>
    <w:rsid w:val="00C41D29"/>
    <w:rsid w:val="00C42445"/>
    <w:rsid w:val="00C429FC"/>
    <w:rsid w:val="00C43952"/>
    <w:rsid w:val="00C50091"/>
    <w:rsid w:val="00C546D7"/>
    <w:rsid w:val="00C555A1"/>
    <w:rsid w:val="00C55CBB"/>
    <w:rsid w:val="00C577E7"/>
    <w:rsid w:val="00C6013F"/>
    <w:rsid w:val="00C67100"/>
    <w:rsid w:val="00C71386"/>
    <w:rsid w:val="00C72D5D"/>
    <w:rsid w:val="00C738FC"/>
    <w:rsid w:val="00C742F6"/>
    <w:rsid w:val="00C74AAC"/>
    <w:rsid w:val="00C74E01"/>
    <w:rsid w:val="00C75D3F"/>
    <w:rsid w:val="00C76A0E"/>
    <w:rsid w:val="00C821DD"/>
    <w:rsid w:val="00C827E0"/>
    <w:rsid w:val="00C84595"/>
    <w:rsid w:val="00C8640A"/>
    <w:rsid w:val="00C87350"/>
    <w:rsid w:val="00C878BC"/>
    <w:rsid w:val="00C92ADE"/>
    <w:rsid w:val="00C95C69"/>
    <w:rsid w:val="00C96BA0"/>
    <w:rsid w:val="00CA1666"/>
    <w:rsid w:val="00CA1F3D"/>
    <w:rsid w:val="00CA5372"/>
    <w:rsid w:val="00CA5709"/>
    <w:rsid w:val="00CA62E5"/>
    <w:rsid w:val="00CA73C8"/>
    <w:rsid w:val="00CA7A8B"/>
    <w:rsid w:val="00CB4712"/>
    <w:rsid w:val="00CB4AB9"/>
    <w:rsid w:val="00CB5DB6"/>
    <w:rsid w:val="00CB66C1"/>
    <w:rsid w:val="00CC0F4D"/>
    <w:rsid w:val="00CC22E1"/>
    <w:rsid w:val="00CC3113"/>
    <w:rsid w:val="00CC4AC5"/>
    <w:rsid w:val="00CC7F91"/>
    <w:rsid w:val="00CD2330"/>
    <w:rsid w:val="00CD3E01"/>
    <w:rsid w:val="00CE336B"/>
    <w:rsid w:val="00CE3419"/>
    <w:rsid w:val="00CE3726"/>
    <w:rsid w:val="00CE5DF2"/>
    <w:rsid w:val="00CE7BD2"/>
    <w:rsid w:val="00CF21E9"/>
    <w:rsid w:val="00CF3A00"/>
    <w:rsid w:val="00CF56B2"/>
    <w:rsid w:val="00CF6CCD"/>
    <w:rsid w:val="00D033D0"/>
    <w:rsid w:val="00D0381E"/>
    <w:rsid w:val="00D10582"/>
    <w:rsid w:val="00D126E4"/>
    <w:rsid w:val="00D127FB"/>
    <w:rsid w:val="00D17193"/>
    <w:rsid w:val="00D17B06"/>
    <w:rsid w:val="00D20D4C"/>
    <w:rsid w:val="00D22579"/>
    <w:rsid w:val="00D3106F"/>
    <w:rsid w:val="00D35078"/>
    <w:rsid w:val="00D357B3"/>
    <w:rsid w:val="00D36918"/>
    <w:rsid w:val="00D37090"/>
    <w:rsid w:val="00D37EDF"/>
    <w:rsid w:val="00D47D0E"/>
    <w:rsid w:val="00D47E3F"/>
    <w:rsid w:val="00D50233"/>
    <w:rsid w:val="00D504F6"/>
    <w:rsid w:val="00D513B4"/>
    <w:rsid w:val="00D51E92"/>
    <w:rsid w:val="00D5329B"/>
    <w:rsid w:val="00D533B2"/>
    <w:rsid w:val="00D53717"/>
    <w:rsid w:val="00D54B19"/>
    <w:rsid w:val="00D54CB8"/>
    <w:rsid w:val="00D57566"/>
    <w:rsid w:val="00D60C34"/>
    <w:rsid w:val="00D634A3"/>
    <w:rsid w:val="00D64CD2"/>
    <w:rsid w:val="00D65551"/>
    <w:rsid w:val="00D67203"/>
    <w:rsid w:val="00D70B2E"/>
    <w:rsid w:val="00D72B30"/>
    <w:rsid w:val="00D7432A"/>
    <w:rsid w:val="00D7434C"/>
    <w:rsid w:val="00D74895"/>
    <w:rsid w:val="00D76D2E"/>
    <w:rsid w:val="00D80E33"/>
    <w:rsid w:val="00D86DB5"/>
    <w:rsid w:val="00D9209F"/>
    <w:rsid w:val="00D92FC1"/>
    <w:rsid w:val="00D95EC2"/>
    <w:rsid w:val="00DA0EC5"/>
    <w:rsid w:val="00DA31C5"/>
    <w:rsid w:val="00DA5984"/>
    <w:rsid w:val="00DB1F90"/>
    <w:rsid w:val="00DB2F91"/>
    <w:rsid w:val="00DB65BC"/>
    <w:rsid w:val="00DB7559"/>
    <w:rsid w:val="00DC09EF"/>
    <w:rsid w:val="00DC0AE0"/>
    <w:rsid w:val="00DC1076"/>
    <w:rsid w:val="00DC2E3E"/>
    <w:rsid w:val="00DC4255"/>
    <w:rsid w:val="00DC4433"/>
    <w:rsid w:val="00DC4DE2"/>
    <w:rsid w:val="00DC696E"/>
    <w:rsid w:val="00DC6B2D"/>
    <w:rsid w:val="00DD0D87"/>
    <w:rsid w:val="00DD2746"/>
    <w:rsid w:val="00DD3397"/>
    <w:rsid w:val="00DD42E1"/>
    <w:rsid w:val="00DE1328"/>
    <w:rsid w:val="00DE2915"/>
    <w:rsid w:val="00DE2F4D"/>
    <w:rsid w:val="00DE454E"/>
    <w:rsid w:val="00DE5229"/>
    <w:rsid w:val="00DF087B"/>
    <w:rsid w:val="00DF0E6A"/>
    <w:rsid w:val="00DF2E4E"/>
    <w:rsid w:val="00DF3205"/>
    <w:rsid w:val="00DF687F"/>
    <w:rsid w:val="00DF782E"/>
    <w:rsid w:val="00DF7971"/>
    <w:rsid w:val="00DF7D93"/>
    <w:rsid w:val="00E01418"/>
    <w:rsid w:val="00E05866"/>
    <w:rsid w:val="00E06094"/>
    <w:rsid w:val="00E06920"/>
    <w:rsid w:val="00E07F9D"/>
    <w:rsid w:val="00E1078B"/>
    <w:rsid w:val="00E114E5"/>
    <w:rsid w:val="00E11D5D"/>
    <w:rsid w:val="00E11E17"/>
    <w:rsid w:val="00E134C7"/>
    <w:rsid w:val="00E13AB7"/>
    <w:rsid w:val="00E14528"/>
    <w:rsid w:val="00E167F1"/>
    <w:rsid w:val="00E207C1"/>
    <w:rsid w:val="00E212ED"/>
    <w:rsid w:val="00E23D97"/>
    <w:rsid w:val="00E24E4F"/>
    <w:rsid w:val="00E25246"/>
    <w:rsid w:val="00E254EF"/>
    <w:rsid w:val="00E2678E"/>
    <w:rsid w:val="00E267E5"/>
    <w:rsid w:val="00E27A4F"/>
    <w:rsid w:val="00E30574"/>
    <w:rsid w:val="00E30FE4"/>
    <w:rsid w:val="00E3119B"/>
    <w:rsid w:val="00E352A0"/>
    <w:rsid w:val="00E36571"/>
    <w:rsid w:val="00E41411"/>
    <w:rsid w:val="00E42E04"/>
    <w:rsid w:val="00E4548D"/>
    <w:rsid w:val="00E47F72"/>
    <w:rsid w:val="00E57171"/>
    <w:rsid w:val="00E57CE4"/>
    <w:rsid w:val="00E63329"/>
    <w:rsid w:val="00E63925"/>
    <w:rsid w:val="00E66721"/>
    <w:rsid w:val="00E67595"/>
    <w:rsid w:val="00E70B04"/>
    <w:rsid w:val="00E70BA2"/>
    <w:rsid w:val="00E71CAD"/>
    <w:rsid w:val="00E74B3F"/>
    <w:rsid w:val="00E76414"/>
    <w:rsid w:val="00E7663D"/>
    <w:rsid w:val="00E80682"/>
    <w:rsid w:val="00E815B8"/>
    <w:rsid w:val="00E82921"/>
    <w:rsid w:val="00E850D4"/>
    <w:rsid w:val="00E853BD"/>
    <w:rsid w:val="00E8573B"/>
    <w:rsid w:val="00E90F94"/>
    <w:rsid w:val="00E9595D"/>
    <w:rsid w:val="00E97C98"/>
    <w:rsid w:val="00EA1B4D"/>
    <w:rsid w:val="00EA489E"/>
    <w:rsid w:val="00EA5D0A"/>
    <w:rsid w:val="00EA7380"/>
    <w:rsid w:val="00EB6166"/>
    <w:rsid w:val="00EB6475"/>
    <w:rsid w:val="00EC3E87"/>
    <w:rsid w:val="00EC4B0B"/>
    <w:rsid w:val="00EC55C4"/>
    <w:rsid w:val="00EC7646"/>
    <w:rsid w:val="00ED52C6"/>
    <w:rsid w:val="00ED5F90"/>
    <w:rsid w:val="00ED5FD2"/>
    <w:rsid w:val="00ED7D04"/>
    <w:rsid w:val="00EE073F"/>
    <w:rsid w:val="00EE144F"/>
    <w:rsid w:val="00EE458B"/>
    <w:rsid w:val="00EE48C7"/>
    <w:rsid w:val="00EE5798"/>
    <w:rsid w:val="00EE5FB5"/>
    <w:rsid w:val="00EE7990"/>
    <w:rsid w:val="00EF2D26"/>
    <w:rsid w:val="00EF36F6"/>
    <w:rsid w:val="00EF5431"/>
    <w:rsid w:val="00EF6A75"/>
    <w:rsid w:val="00EF7070"/>
    <w:rsid w:val="00F03666"/>
    <w:rsid w:val="00F03935"/>
    <w:rsid w:val="00F03F4C"/>
    <w:rsid w:val="00F056AD"/>
    <w:rsid w:val="00F06FD0"/>
    <w:rsid w:val="00F0739B"/>
    <w:rsid w:val="00F07C88"/>
    <w:rsid w:val="00F1093A"/>
    <w:rsid w:val="00F10AD0"/>
    <w:rsid w:val="00F11CE9"/>
    <w:rsid w:val="00F2067A"/>
    <w:rsid w:val="00F2083B"/>
    <w:rsid w:val="00F209F6"/>
    <w:rsid w:val="00F211E1"/>
    <w:rsid w:val="00F211FC"/>
    <w:rsid w:val="00F244E1"/>
    <w:rsid w:val="00F2748D"/>
    <w:rsid w:val="00F27A4F"/>
    <w:rsid w:val="00F322C7"/>
    <w:rsid w:val="00F32C5C"/>
    <w:rsid w:val="00F36156"/>
    <w:rsid w:val="00F4667A"/>
    <w:rsid w:val="00F525DD"/>
    <w:rsid w:val="00F5429E"/>
    <w:rsid w:val="00F55837"/>
    <w:rsid w:val="00F66AFB"/>
    <w:rsid w:val="00F717A4"/>
    <w:rsid w:val="00F81D72"/>
    <w:rsid w:val="00F82465"/>
    <w:rsid w:val="00F82D8B"/>
    <w:rsid w:val="00F82E1C"/>
    <w:rsid w:val="00F82F64"/>
    <w:rsid w:val="00F85F2D"/>
    <w:rsid w:val="00F86169"/>
    <w:rsid w:val="00F86995"/>
    <w:rsid w:val="00F87AC4"/>
    <w:rsid w:val="00F925AB"/>
    <w:rsid w:val="00F945F6"/>
    <w:rsid w:val="00FA21D7"/>
    <w:rsid w:val="00FA3BB1"/>
    <w:rsid w:val="00FB031E"/>
    <w:rsid w:val="00FB0DBF"/>
    <w:rsid w:val="00FB2F9C"/>
    <w:rsid w:val="00FB5CD5"/>
    <w:rsid w:val="00FB71FF"/>
    <w:rsid w:val="00FC06AC"/>
    <w:rsid w:val="00FC6850"/>
    <w:rsid w:val="00FC6982"/>
    <w:rsid w:val="00FC6ABD"/>
    <w:rsid w:val="00FC763C"/>
    <w:rsid w:val="00FD1171"/>
    <w:rsid w:val="00FD1CBC"/>
    <w:rsid w:val="00FD1FD2"/>
    <w:rsid w:val="00FD462A"/>
    <w:rsid w:val="00FD4930"/>
    <w:rsid w:val="00FD5292"/>
    <w:rsid w:val="00FD678A"/>
    <w:rsid w:val="00FE0C0C"/>
    <w:rsid w:val="00FE13BE"/>
    <w:rsid w:val="00FE2053"/>
    <w:rsid w:val="00FE253F"/>
    <w:rsid w:val="00FE4DA4"/>
    <w:rsid w:val="00FE6BCF"/>
    <w:rsid w:val="00FE7806"/>
    <w:rsid w:val="00FE7B0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1C4D370"/>
  <w15:docId w15:val="{68D9BBC0-B6A7-4408-885D-9BED39FF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414"/>
    <w:pPr>
      <w:tabs>
        <w:tab w:val="left" w:pos="1189"/>
      </w:tabs>
      <w:spacing w:after="60" w:line="280" w:lineRule="exact"/>
      <w:ind w:right="3"/>
      <w:jc w:val="both"/>
    </w:pPr>
    <w:rPr>
      <w:rFonts w:ascii="Tahoma" w:eastAsia="Times New Roman" w:hAnsi="Tahoma" w:cs="Tahoma"/>
      <w:lang w:val="el-GR"/>
    </w:rPr>
  </w:style>
  <w:style w:type="paragraph" w:styleId="1">
    <w:name w:val="heading 1"/>
    <w:basedOn w:val="a"/>
    <w:link w:val="1Char"/>
    <w:uiPriority w:val="9"/>
    <w:qFormat/>
    <w:pPr>
      <w:spacing w:before="87"/>
      <w:ind w:left="1623" w:right="1172"/>
      <w:jc w:val="center"/>
      <w:outlineLvl w:val="0"/>
    </w:pPr>
    <w:rPr>
      <w:b/>
      <w:bCs/>
      <w:sz w:val="30"/>
      <w:szCs w:val="30"/>
    </w:rPr>
  </w:style>
  <w:style w:type="paragraph" w:styleId="2">
    <w:name w:val="heading 2"/>
    <w:aliases w:val="Article Description Überschrift 2"/>
    <w:basedOn w:val="a"/>
    <w:link w:val="2Char"/>
    <w:uiPriority w:val="9"/>
    <w:unhideWhenUsed/>
    <w:qFormat/>
    <w:pPr>
      <w:ind w:left="3207" w:right="3485"/>
      <w:jc w:val="center"/>
      <w:outlineLvl w:val="1"/>
    </w:pPr>
    <w:rPr>
      <w:rFonts w:ascii="Calibri" w:eastAsia="Calibri" w:hAnsi="Calibri" w:cs="Calibri"/>
      <w:b/>
      <w:bCs/>
      <w:sz w:val="26"/>
      <w:szCs w:val="26"/>
    </w:rPr>
  </w:style>
  <w:style w:type="paragraph" w:styleId="3">
    <w:name w:val="heading 3"/>
    <w:basedOn w:val="a"/>
    <w:link w:val="3Char"/>
    <w:uiPriority w:val="9"/>
    <w:unhideWhenUsed/>
    <w:qFormat/>
    <w:pPr>
      <w:ind w:left="1618" w:right="656"/>
      <w:jc w:val="center"/>
      <w:outlineLvl w:val="2"/>
    </w:pPr>
    <w:rPr>
      <w:b/>
      <w:bCs/>
      <w:sz w:val="24"/>
      <w:szCs w:val="24"/>
    </w:rPr>
  </w:style>
  <w:style w:type="paragraph" w:styleId="4">
    <w:name w:val="heading 4"/>
    <w:basedOn w:val="a"/>
    <w:link w:val="4Char"/>
    <w:uiPriority w:val="9"/>
    <w:unhideWhenUsed/>
    <w:qFormat/>
    <w:pPr>
      <w:ind w:left="3014" w:right="3485"/>
      <w:jc w:val="center"/>
      <w:outlineLvl w:val="3"/>
    </w:pPr>
    <w:rPr>
      <w:b/>
      <w:bCs/>
    </w:rPr>
  </w:style>
  <w:style w:type="paragraph" w:styleId="5">
    <w:name w:val="heading 5"/>
    <w:basedOn w:val="a"/>
    <w:link w:val="5Char"/>
    <w:uiPriority w:val="9"/>
    <w:unhideWhenUsed/>
    <w:qFormat/>
    <w:pPr>
      <w:ind w:left="820"/>
      <w:outlineLvl w:val="4"/>
    </w:pPr>
    <w:rPr>
      <w:b/>
      <w:bCs/>
      <w:sz w:val="20"/>
      <w:szCs w:val="20"/>
    </w:rPr>
  </w:style>
  <w:style w:type="paragraph" w:styleId="6">
    <w:name w:val="heading 6"/>
    <w:basedOn w:val="a"/>
    <w:next w:val="a"/>
    <w:link w:val="6Char"/>
    <w:uiPriority w:val="9"/>
    <w:semiHidden/>
    <w:unhideWhenUsed/>
    <w:qFormat/>
    <w:rsid w:val="009A09BD"/>
    <w:pPr>
      <w:keepNext/>
      <w:keepLines/>
      <w:widowControl/>
      <w:autoSpaceDE/>
      <w:autoSpaceDN/>
      <w:spacing w:before="40" w:line="259" w:lineRule="auto"/>
      <w:ind w:left="1152" w:hanging="1152"/>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semiHidden/>
    <w:unhideWhenUsed/>
    <w:qFormat/>
    <w:rsid w:val="009A09BD"/>
    <w:pPr>
      <w:keepNext/>
      <w:keepLines/>
      <w:widowControl/>
      <w:autoSpaceDE/>
      <w:autoSpaceDN/>
      <w:spacing w:before="40" w:line="259" w:lineRule="auto"/>
      <w:ind w:left="1296" w:hanging="1296"/>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9A09BD"/>
    <w:pPr>
      <w:keepNext/>
      <w:keepLines/>
      <w:widowControl/>
      <w:autoSpaceDE/>
      <w:autoSpaceDN/>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9A09BD"/>
    <w:pPr>
      <w:keepNext/>
      <w:keepLines/>
      <w:widowControl/>
      <w:autoSpaceDE/>
      <w:autoSpaceDN/>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qFormat/>
    <w:rPr>
      <w:sz w:val="20"/>
      <w:szCs w:val="20"/>
    </w:rPr>
  </w:style>
  <w:style w:type="paragraph" w:styleId="a4">
    <w:name w:val="List Paragraph"/>
    <w:aliases w:val="Símbolo 4"/>
    <w:basedOn w:val="a"/>
    <w:link w:val="Char0"/>
    <w:uiPriority w:val="34"/>
    <w:qFormat/>
    <w:pPr>
      <w:ind w:left="820"/>
    </w:pPr>
  </w:style>
  <w:style w:type="paragraph" w:customStyle="1" w:styleId="TableParagraph">
    <w:name w:val="Table Paragraph"/>
    <w:basedOn w:val="a"/>
    <w:uiPriority w:val="1"/>
    <w:qFormat/>
    <w:pPr>
      <w:spacing w:before="4" w:line="62" w:lineRule="exact"/>
      <w:jc w:val="center"/>
    </w:pPr>
    <w:rPr>
      <w:rFonts w:ascii="Arial MT" w:eastAsia="Arial MT" w:hAnsi="Arial MT" w:cs="Arial MT"/>
    </w:rPr>
  </w:style>
  <w:style w:type="paragraph" w:styleId="a5">
    <w:name w:val="header"/>
    <w:basedOn w:val="a"/>
    <w:link w:val="Char1"/>
    <w:uiPriority w:val="99"/>
    <w:unhideWhenUsed/>
    <w:rsid w:val="0065260A"/>
    <w:pPr>
      <w:tabs>
        <w:tab w:val="center" w:pos="4153"/>
        <w:tab w:val="right" w:pos="8306"/>
      </w:tabs>
    </w:pPr>
  </w:style>
  <w:style w:type="character" w:customStyle="1" w:styleId="Char1">
    <w:name w:val="Κεφαλίδα Char"/>
    <w:basedOn w:val="a0"/>
    <w:link w:val="a5"/>
    <w:uiPriority w:val="99"/>
    <w:rsid w:val="0065260A"/>
    <w:rPr>
      <w:rFonts w:ascii="Times New Roman" w:eastAsia="Times New Roman" w:hAnsi="Times New Roman" w:cs="Times New Roman"/>
      <w:lang w:val="el-GR"/>
    </w:rPr>
  </w:style>
  <w:style w:type="paragraph" w:styleId="a6">
    <w:name w:val="footer"/>
    <w:basedOn w:val="a"/>
    <w:link w:val="Char2"/>
    <w:uiPriority w:val="99"/>
    <w:unhideWhenUsed/>
    <w:rsid w:val="0065260A"/>
    <w:pPr>
      <w:tabs>
        <w:tab w:val="center" w:pos="4153"/>
        <w:tab w:val="right" w:pos="8306"/>
      </w:tabs>
    </w:pPr>
  </w:style>
  <w:style w:type="character" w:customStyle="1" w:styleId="Char2">
    <w:name w:val="Υποσέλιδο Char"/>
    <w:basedOn w:val="a0"/>
    <w:link w:val="a6"/>
    <w:uiPriority w:val="99"/>
    <w:rsid w:val="0065260A"/>
    <w:rPr>
      <w:rFonts w:ascii="Times New Roman" w:eastAsia="Times New Roman" w:hAnsi="Times New Roman" w:cs="Times New Roman"/>
      <w:lang w:val="el-GR"/>
    </w:rPr>
  </w:style>
  <w:style w:type="paragraph" w:styleId="a7">
    <w:name w:val="annotation text"/>
    <w:basedOn w:val="a"/>
    <w:link w:val="Char3"/>
    <w:uiPriority w:val="99"/>
    <w:unhideWhenUsed/>
    <w:rPr>
      <w:sz w:val="20"/>
      <w:szCs w:val="20"/>
    </w:rPr>
  </w:style>
  <w:style w:type="character" w:customStyle="1" w:styleId="Char3">
    <w:name w:val="Κείμενο σχολίου Char"/>
    <w:basedOn w:val="a0"/>
    <w:link w:val="a7"/>
    <w:uiPriority w:val="99"/>
    <w:rPr>
      <w:rFonts w:ascii="Times New Roman" w:eastAsia="Times New Roman" w:hAnsi="Times New Roman" w:cs="Times New Roman"/>
      <w:sz w:val="20"/>
      <w:szCs w:val="20"/>
      <w:lang w:val="el-GR"/>
    </w:rPr>
  </w:style>
  <w:style w:type="character" w:styleId="a8">
    <w:name w:val="annotation reference"/>
    <w:basedOn w:val="a0"/>
    <w:uiPriority w:val="99"/>
    <w:semiHidden/>
    <w:unhideWhenUsed/>
    <w:rPr>
      <w:sz w:val="16"/>
      <w:szCs w:val="16"/>
    </w:rPr>
  </w:style>
  <w:style w:type="paragraph" w:styleId="a9">
    <w:name w:val="Revision"/>
    <w:hidden/>
    <w:uiPriority w:val="99"/>
    <w:semiHidden/>
    <w:rsid w:val="00742B68"/>
    <w:pPr>
      <w:widowControl/>
      <w:autoSpaceDE/>
      <w:autoSpaceDN/>
    </w:pPr>
    <w:rPr>
      <w:rFonts w:ascii="Times New Roman" w:eastAsia="Times New Roman" w:hAnsi="Times New Roman" w:cs="Times New Roman"/>
      <w:lang w:val="el-GR"/>
    </w:rPr>
  </w:style>
  <w:style w:type="paragraph" w:styleId="aa">
    <w:name w:val="Balloon Text"/>
    <w:basedOn w:val="a"/>
    <w:link w:val="Char4"/>
    <w:uiPriority w:val="99"/>
    <w:semiHidden/>
    <w:unhideWhenUsed/>
    <w:rsid w:val="00B4787D"/>
    <w:rPr>
      <w:rFonts w:ascii="Segoe UI" w:hAnsi="Segoe UI" w:cs="Segoe UI"/>
      <w:sz w:val="18"/>
      <w:szCs w:val="18"/>
    </w:rPr>
  </w:style>
  <w:style w:type="character" w:customStyle="1" w:styleId="Char4">
    <w:name w:val="Κείμενο πλαισίου Char"/>
    <w:basedOn w:val="a0"/>
    <w:link w:val="aa"/>
    <w:uiPriority w:val="99"/>
    <w:semiHidden/>
    <w:rsid w:val="00B4787D"/>
    <w:rPr>
      <w:rFonts w:ascii="Segoe UI" w:eastAsia="Times New Roman" w:hAnsi="Segoe UI" w:cs="Segoe UI"/>
      <w:sz w:val="18"/>
      <w:szCs w:val="18"/>
      <w:lang w:val="el-GR"/>
    </w:rPr>
  </w:style>
  <w:style w:type="paragraph" w:styleId="ab">
    <w:name w:val="annotation subject"/>
    <w:basedOn w:val="a7"/>
    <w:next w:val="a7"/>
    <w:link w:val="Char5"/>
    <w:uiPriority w:val="99"/>
    <w:semiHidden/>
    <w:unhideWhenUsed/>
    <w:rsid w:val="0001260C"/>
    <w:rPr>
      <w:b/>
      <w:bCs/>
    </w:rPr>
  </w:style>
  <w:style w:type="character" w:customStyle="1" w:styleId="Char5">
    <w:name w:val="Θέμα σχολίου Char"/>
    <w:basedOn w:val="Char3"/>
    <w:link w:val="ab"/>
    <w:uiPriority w:val="99"/>
    <w:semiHidden/>
    <w:rsid w:val="0001260C"/>
    <w:rPr>
      <w:rFonts w:ascii="Times New Roman" w:eastAsia="Times New Roman" w:hAnsi="Times New Roman" w:cs="Times New Roman"/>
      <w:b/>
      <w:bCs/>
      <w:sz w:val="20"/>
      <w:szCs w:val="20"/>
      <w:lang w:val="el-GR"/>
    </w:rPr>
  </w:style>
  <w:style w:type="character" w:styleId="-">
    <w:name w:val="Hyperlink"/>
    <w:basedOn w:val="a0"/>
    <w:uiPriority w:val="99"/>
    <w:unhideWhenUsed/>
    <w:rsid w:val="00EB6475"/>
    <w:rPr>
      <w:color w:val="0000FF" w:themeColor="hyperlink"/>
      <w:u w:val="single"/>
    </w:rPr>
  </w:style>
  <w:style w:type="character" w:styleId="ac">
    <w:name w:val="Unresolved Mention"/>
    <w:basedOn w:val="a0"/>
    <w:uiPriority w:val="99"/>
    <w:semiHidden/>
    <w:unhideWhenUsed/>
    <w:rsid w:val="00EB6475"/>
    <w:rPr>
      <w:color w:val="605E5C"/>
      <w:shd w:val="clear" w:color="auto" w:fill="E1DFDD"/>
    </w:rPr>
  </w:style>
  <w:style w:type="paragraph" w:styleId="ad">
    <w:name w:val="Title"/>
    <w:basedOn w:val="a"/>
    <w:next w:val="a"/>
    <w:link w:val="Char6"/>
    <w:uiPriority w:val="10"/>
    <w:qFormat/>
    <w:rsid w:val="001D69B1"/>
    <w:pPr>
      <w:keepNext/>
      <w:keepLines/>
      <w:widowControl/>
      <w:autoSpaceDE/>
      <w:autoSpaceDN/>
      <w:spacing w:line="276" w:lineRule="auto"/>
    </w:pPr>
    <w:rPr>
      <w:rFonts w:ascii="Arial" w:eastAsia="Arial" w:hAnsi="Arial" w:cs="Arial"/>
      <w:sz w:val="52"/>
      <w:szCs w:val="52"/>
      <w:lang w:val="el"/>
    </w:rPr>
  </w:style>
  <w:style w:type="character" w:customStyle="1" w:styleId="Char6">
    <w:name w:val="Τίτλος Char"/>
    <w:basedOn w:val="a0"/>
    <w:link w:val="ad"/>
    <w:uiPriority w:val="10"/>
    <w:rsid w:val="001D69B1"/>
    <w:rPr>
      <w:rFonts w:ascii="Arial" w:eastAsia="Arial" w:hAnsi="Arial" w:cs="Arial"/>
      <w:sz w:val="52"/>
      <w:szCs w:val="52"/>
      <w:lang w:val="el"/>
    </w:rPr>
  </w:style>
  <w:style w:type="paragraph" w:styleId="-HTML">
    <w:name w:val="HTML Preformatted"/>
    <w:basedOn w:val="a"/>
    <w:link w:val="-HTMLChar"/>
    <w:uiPriority w:val="99"/>
    <w:semiHidden/>
    <w:unhideWhenUsed/>
    <w:rsid w:val="00AD22DD"/>
    <w:rPr>
      <w:rFonts w:ascii="Consolas" w:hAnsi="Consolas"/>
      <w:sz w:val="20"/>
      <w:szCs w:val="20"/>
    </w:rPr>
  </w:style>
  <w:style w:type="character" w:customStyle="1" w:styleId="-HTMLChar">
    <w:name w:val="Προ-διαμορφωμένο HTML Char"/>
    <w:basedOn w:val="a0"/>
    <w:link w:val="-HTML"/>
    <w:uiPriority w:val="99"/>
    <w:semiHidden/>
    <w:rsid w:val="00AD22DD"/>
    <w:rPr>
      <w:rFonts w:ascii="Consolas" w:eastAsia="Times New Roman" w:hAnsi="Consolas" w:cs="Times New Roman"/>
      <w:sz w:val="20"/>
      <w:szCs w:val="20"/>
      <w:lang w:val="el-GR"/>
    </w:rPr>
  </w:style>
  <w:style w:type="character" w:customStyle="1" w:styleId="cf01">
    <w:name w:val="cf01"/>
    <w:basedOn w:val="a0"/>
    <w:rsid w:val="002729C4"/>
    <w:rPr>
      <w:rFonts w:ascii="Segoe UI" w:hAnsi="Segoe UI" w:cs="Segoe UI" w:hint="default"/>
      <w:sz w:val="18"/>
      <w:szCs w:val="18"/>
    </w:rPr>
  </w:style>
  <w:style w:type="paragraph" w:styleId="ae">
    <w:name w:val="endnote text"/>
    <w:basedOn w:val="a"/>
    <w:link w:val="Char7"/>
    <w:uiPriority w:val="99"/>
    <w:semiHidden/>
    <w:unhideWhenUsed/>
    <w:rsid w:val="00911A96"/>
    <w:rPr>
      <w:sz w:val="20"/>
      <w:szCs w:val="20"/>
    </w:rPr>
  </w:style>
  <w:style w:type="character" w:customStyle="1" w:styleId="Char7">
    <w:name w:val="Κείμενο σημείωσης τέλους Char"/>
    <w:basedOn w:val="a0"/>
    <w:link w:val="ae"/>
    <w:uiPriority w:val="99"/>
    <w:semiHidden/>
    <w:rsid w:val="00911A96"/>
    <w:rPr>
      <w:rFonts w:ascii="Times New Roman" w:eastAsia="Times New Roman" w:hAnsi="Times New Roman" w:cs="Times New Roman"/>
      <w:sz w:val="20"/>
      <w:szCs w:val="20"/>
      <w:lang w:val="el-GR"/>
    </w:rPr>
  </w:style>
  <w:style w:type="character" w:styleId="af">
    <w:name w:val="endnote reference"/>
    <w:basedOn w:val="a0"/>
    <w:uiPriority w:val="99"/>
    <w:semiHidden/>
    <w:unhideWhenUsed/>
    <w:rsid w:val="00911A96"/>
    <w:rPr>
      <w:vertAlign w:val="superscript"/>
    </w:rPr>
  </w:style>
  <w:style w:type="character" w:styleId="af0">
    <w:name w:val="footnote reference"/>
    <w:uiPriority w:val="99"/>
    <w:semiHidden/>
    <w:rsid w:val="00911A96"/>
    <w:rPr>
      <w:vertAlign w:val="superscript"/>
    </w:rPr>
  </w:style>
  <w:style w:type="paragraph" w:styleId="af1">
    <w:name w:val="footnote text"/>
    <w:basedOn w:val="a"/>
    <w:link w:val="Char8"/>
    <w:uiPriority w:val="99"/>
    <w:semiHidden/>
    <w:rsid w:val="00911A96"/>
    <w:pPr>
      <w:widowControl/>
      <w:overflowPunct w:val="0"/>
      <w:adjustRightInd w:val="0"/>
      <w:spacing w:before="120"/>
      <w:textAlignment w:val="baseline"/>
    </w:pPr>
    <w:rPr>
      <w:sz w:val="20"/>
      <w:szCs w:val="20"/>
      <w:lang w:bidi="he-IL"/>
    </w:rPr>
  </w:style>
  <w:style w:type="character" w:customStyle="1" w:styleId="Char8">
    <w:name w:val="Κείμενο υποσημείωσης Char"/>
    <w:basedOn w:val="a0"/>
    <w:link w:val="af1"/>
    <w:uiPriority w:val="99"/>
    <w:semiHidden/>
    <w:rsid w:val="00911A96"/>
    <w:rPr>
      <w:rFonts w:ascii="Times New Roman" w:eastAsia="Times New Roman" w:hAnsi="Times New Roman" w:cs="Times New Roman"/>
      <w:sz w:val="20"/>
      <w:szCs w:val="20"/>
      <w:lang w:val="el-GR" w:bidi="he-IL"/>
    </w:rPr>
  </w:style>
  <w:style w:type="paragraph" w:customStyle="1" w:styleId="af2">
    <w:name w:val="γ' Αρίθμηση"/>
    <w:basedOn w:val="a"/>
    <w:link w:val="Char9"/>
    <w:rsid w:val="00911A96"/>
    <w:pPr>
      <w:widowControl/>
      <w:autoSpaceDE/>
      <w:autoSpaceDN/>
      <w:spacing w:before="240" w:after="160" w:line="259" w:lineRule="auto"/>
      <w:contextualSpacing/>
    </w:pPr>
    <w:rPr>
      <w:rFonts w:eastAsiaTheme="minorHAnsi"/>
      <w:color w:val="000000"/>
      <w:szCs w:val="24"/>
      <w:lang w:eastAsia="el-GR"/>
    </w:rPr>
  </w:style>
  <w:style w:type="character" w:customStyle="1" w:styleId="Char9">
    <w:name w:val="γ' Αρίθμηση Char"/>
    <w:basedOn w:val="a0"/>
    <w:link w:val="af2"/>
    <w:rsid w:val="00911A96"/>
    <w:rPr>
      <w:rFonts w:ascii="Times New Roman" w:hAnsi="Times New Roman" w:cs="Times New Roman"/>
      <w:color w:val="000000"/>
      <w:szCs w:val="24"/>
      <w:lang w:val="el-GR" w:eastAsia="el-GR"/>
    </w:rPr>
  </w:style>
  <w:style w:type="character" w:customStyle="1" w:styleId="6Char">
    <w:name w:val="Επικεφαλίδα 6 Char"/>
    <w:basedOn w:val="a0"/>
    <w:link w:val="6"/>
    <w:uiPriority w:val="9"/>
    <w:semiHidden/>
    <w:rsid w:val="009A09BD"/>
    <w:rPr>
      <w:rFonts w:asciiTheme="majorHAnsi" w:eastAsiaTheme="majorEastAsia" w:hAnsiTheme="majorHAnsi" w:cstheme="majorBidi"/>
      <w:color w:val="243F60" w:themeColor="accent1" w:themeShade="7F"/>
      <w:lang w:val="el-GR"/>
    </w:rPr>
  </w:style>
  <w:style w:type="character" w:customStyle="1" w:styleId="7Char">
    <w:name w:val="Επικεφαλίδα 7 Char"/>
    <w:basedOn w:val="a0"/>
    <w:link w:val="7"/>
    <w:uiPriority w:val="9"/>
    <w:semiHidden/>
    <w:rsid w:val="009A09BD"/>
    <w:rPr>
      <w:rFonts w:asciiTheme="majorHAnsi" w:eastAsiaTheme="majorEastAsia" w:hAnsiTheme="majorHAnsi" w:cstheme="majorBidi"/>
      <w:i/>
      <w:iCs/>
      <w:color w:val="243F60" w:themeColor="accent1" w:themeShade="7F"/>
      <w:lang w:val="el-GR"/>
    </w:rPr>
  </w:style>
  <w:style w:type="character" w:customStyle="1" w:styleId="8Char">
    <w:name w:val="Επικεφαλίδα 8 Char"/>
    <w:basedOn w:val="a0"/>
    <w:link w:val="8"/>
    <w:uiPriority w:val="9"/>
    <w:semiHidden/>
    <w:rsid w:val="009A09BD"/>
    <w:rPr>
      <w:rFonts w:asciiTheme="majorHAnsi" w:eastAsiaTheme="majorEastAsia" w:hAnsiTheme="majorHAnsi" w:cstheme="majorBidi"/>
      <w:color w:val="272727" w:themeColor="text1" w:themeTint="D8"/>
      <w:sz w:val="21"/>
      <w:szCs w:val="21"/>
      <w:lang w:val="el-GR"/>
    </w:rPr>
  </w:style>
  <w:style w:type="character" w:customStyle="1" w:styleId="9Char">
    <w:name w:val="Επικεφαλίδα 9 Char"/>
    <w:basedOn w:val="a0"/>
    <w:link w:val="9"/>
    <w:uiPriority w:val="9"/>
    <w:semiHidden/>
    <w:rsid w:val="009A09BD"/>
    <w:rPr>
      <w:rFonts w:asciiTheme="majorHAnsi" w:eastAsiaTheme="majorEastAsia" w:hAnsiTheme="majorHAnsi" w:cstheme="majorBidi"/>
      <w:i/>
      <w:iCs/>
      <w:color w:val="272727" w:themeColor="text1" w:themeTint="D8"/>
      <w:sz w:val="21"/>
      <w:szCs w:val="21"/>
      <w:lang w:val="el-GR"/>
    </w:rPr>
  </w:style>
  <w:style w:type="table" w:styleId="af3">
    <w:name w:val="Table Grid"/>
    <w:aliases w:val="SGS Table Basic 1"/>
    <w:basedOn w:val="a1"/>
    <w:uiPriority w:val="39"/>
    <w:rsid w:val="009A09BD"/>
    <w:pPr>
      <w:widowControl/>
      <w:autoSpaceDE/>
      <w:autoSpaceDN/>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9A09BD"/>
    <w:rPr>
      <w:color w:val="808080"/>
    </w:rPr>
  </w:style>
  <w:style w:type="paragraph" w:customStyle="1" w:styleId="Default">
    <w:name w:val="Default"/>
    <w:rsid w:val="009A09BD"/>
    <w:pPr>
      <w:widowControl/>
      <w:adjustRightInd w:val="0"/>
    </w:pPr>
    <w:rPr>
      <w:rFonts w:ascii="Arial" w:hAnsi="Arial" w:cs="Arial"/>
      <w:color w:val="000000"/>
      <w:sz w:val="24"/>
      <w:szCs w:val="24"/>
    </w:rPr>
  </w:style>
  <w:style w:type="character" w:customStyle="1" w:styleId="1Char">
    <w:name w:val="Επικεφαλίδα 1 Char"/>
    <w:basedOn w:val="a0"/>
    <w:link w:val="1"/>
    <w:uiPriority w:val="9"/>
    <w:rsid w:val="009A09BD"/>
    <w:rPr>
      <w:rFonts w:ascii="Times New Roman" w:eastAsia="Times New Roman" w:hAnsi="Times New Roman" w:cs="Times New Roman"/>
      <w:b/>
      <w:bCs/>
      <w:sz w:val="30"/>
      <w:szCs w:val="30"/>
      <w:lang w:val="el-GR"/>
    </w:rPr>
  </w:style>
  <w:style w:type="character" w:customStyle="1" w:styleId="2Char">
    <w:name w:val="Επικεφαλίδα 2 Char"/>
    <w:aliases w:val="Article Description Überschrift 2 Char"/>
    <w:basedOn w:val="a0"/>
    <w:link w:val="2"/>
    <w:uiPriority w:val="9"/>
    <w:rsid w:val="009A09BD"/>
    <w:rPr>
      <w:rFonts w:ascii="Calibri" w:eastAsia="Calibri" w:hAnsi="Calibri" w:cs="Calibri"/>
      <w:b/>
      <w:bCs/>
      <w:sz w:val="26"/>
      <w:szCs w:val="26"/>
      <w:lang w:val="el-GR"/>
    </w:rPr>
  </w:style>
  <w:style w:type="character" w:customStyle="1" w:styleId="3Char">
    <w:name w:val="Επικεφαλίδα 3 Char"/>
    <w:basedOn w:val="a0"/>
    <w:link w:val="3"/>
    <w:uiPriority w:val="9"/>
    <w:rsid w:val="009A09BD"/>
    <w:rPr>
      <w:rFonts w:ascii="Times New Roman" w:eastAsia="Times New Roman" w:hAnsi="Times New Roman" w:cs="Times New Roman"/>
      <w:b/>
      <w:bCs/>
      <w:sz w:val="24"/>
      <w:szCs w:val="24"/>
      <w:lang w:val="el-GR"/>
    </w:rPr>
  </w:style>
  <w:style w:type="character" w:customStyle="1" w:styleId="4Char">
    <w:name w:val="Επικεφαλίδα 4 Char"/>
    <w:basedOn w:val="a0"/>
    <w:link w:val="4"/>
    <w:uiPriority w:val="9"/>
    <w:rsid w:val="009A09BD"/>
    <w:rPr>
      <w:rFonts w:ascii="Times New Roman" w:eastAsia="Times New Roman" w:hAnsi="Times New Roman" w:cs="Times New Roman"/>
      <w:b/>
      <w:bCs/>
      <w:lang w:val="el-GR"/>
    </w:rPr>
  </w:style>
  <w:style w:type="character" w:customStyle="1" w:styleId="5Char">
    <w:name w:val="Επικεφαλίδα 5 Char"/>
    <w:basedOn w:val="a0"/>
    <w:link w:val="5"/>
    <w:uiPriority w:val="9"/>
    <w:rsid w:val="009A09BD"/>
    <w:rPr>
      <w:rFonts w:ascii="Times New Roman" w:eastAsia="Times New Roman" w:hAnsi="Times New Roman" w:cs="Times New Roman"/>
      <w:b/>
      <w:bCs/>
      <w:sz w:val="20"/>
      <w:szCs w:val="20"/>
      <w:lang w:val="el-GR"/>
    </w:rPr>
  </w:style>
  <w:style w:type="character" w:customStyle="1" w:styleId="rynqvb">
    <w:name w:val="rynqvb"/>
    <w:basedOn w:val="a0"/>
    <w:rsid w:val="009A09BD"/>
  </w:style>
  <w:style w:type="character" w:customStyle="1" w:styleId="Char">
    <w:name w:val="Σώμα κειμένου Char"/>
    <w:basedOn w:val="a0"/>
    <w:link w:val="a3"/>
    <w:rsid w:val="00AC5682"/>
    <w:rPr>
      <w:rFonts w:ascii="Times New Roman" w:eastAsia="Times New Roman" w:hAnsi="Times New Roman" w:cs="Times New Roman"/>
      <w:sz w:val="20"/>
      <w:szCs w:val="20"/>
      <w:lang w:val="el-GR"/>
    </w:rPr>
  </w:style>
  <w:style w:type="paragraph" w:customStyle="1" w:styleId="10">
    <w:name w:val="Στυλ1"/>
    <w:basedOn w:val="3"/>
    <w:link w:val="1Char0"/>
    <w:qFormat/>
    <w:rsid w:val="00E76414"/>
    <w:pPr>
      <w:ind w:left="0" w:right="3"/>
    </w:pPr>
    <w:rPr>
      <w:sz w:val="26"/>
      <w:szCs w:val="26"/>
    </w:rPr>
  </w:style>
  <w:style w:type="paragraph" w:customStyle="1" w:styleId="20">
    <w:name w:val="Στυλ2"/>
    <w:basedOn w:val="4"/>
    <w:link w:val="2Char0"/>
    <w:qFormat/>
    <w:rsid w:val="00E76414"/>
    <w:pPr>
      <w:ind w:left="0" w:right="3"/>
    </w:pPr>
    <w:rPr>
      <w:sz w:val="24"/>
      <w:szCs w:val="24"/>
    </w:rPr>
  </w:style>
  <w:style w:type="character" w:customStyle="1" w:styleId="1Char0">
    <w:name w:val="Στυλ1 Char"/>
    <w:basedOn w:val="3Char"/>
    <w:link w:val="10"/>
    <w:rsid w:val="00E76414"/>
    <w:rPr>
      <w:rFonts w:ascii="Tahoma" w:eastAsia="Times New Roman" w:hAnsi="Tahoma" w:cs="Tahoma"/>
      <w:b/>
      <w:bCs/>
      <w:sz w:val="26"/>
      <w:szCs w:val="26"/>
      <w:lang w:val="el-GR"/>
    </w:rPr>
  </w:style>
  <w:style w:type="character" w:customStyle="1" w:styleId="2Char0">
    <w:name w:val="Στυλ2 Char"/>
    <w:basedOn w:val="4Char"/>
    <w:link w:val="20"/>
    <w:rsid w:val="00E76414"/>
    <w:rPr>
      <w:rFonts w:ascii="Tahoma" w:eastAsia="Times New Roman" w:hAnsi="Tahoma" w:cs="Tahoma"/>
      <w:b/>
      <w:bCs/>
      <w:sz w:val="24"/>
      <w:szCs w:val="24"/>
      <w:lang w:val="el-GR"/>
    </w:rPr>
  </w:style>
  <w:style w:type="character" w:customStyle="1" w:styleId="Char0">
    <w:name w:val="Παράγραφος λίστας Char"/>
    <w:aliases w:val="Símbolo 4 Char"/>
    <w:basedOn w:val="a0"/>
    <w:link w:val="a4"/>
    <w:uiPriority w:val="34"/>
    <w:rsid w:val="00E11D5D"/>
    <w:rPr>
      <w:rFonts w:ascii="Tahoma" w:eastAsia="Times New Roman" w:hAnsi="Tahoma" w:cs="Tahoma"/>
      <w:lang w:val="el-GR"/>
    </w:rPr>
  </w:style>
  <w:style w:type="character" w:styleId="-0">
    <w:name w:val="FollowedHyperlink"/>
    <w:basedOn w:val="a0"/>
    <w:uiPriority w:val="99"/>
    <w:semiHidden/>
    <w:unhideWhenUsed/>
    <w:rsid w:val="00C71386"/>
    <w:rPr>
      <w:color w:val="800080" w:themeColor="followedHyperlink"/>
      <w:u w:val="single"/>
    </w:rPr>
  </w:style>
  <w:style w:type="numbering" w:customStyle="1" w:styleId="11">
    <w:name w:val="Χωρίς λίστα1"/>
    <w:next w:val="a2"/>
    <w:uiPriority w:val="99"/>
    <w:semiHidden/>
    <w:unhideWhenUsed/>
    <w:rsid w:val="00A54612"/>
  </w:style>
  <w:style w:type="paragraph" w:customStyle="1" w:styleId="12">
    <w:name w:val="Λεζάντα1"/>
    <w:basedOn w:val="a"/>
    <w:next w:val="a"/>
    <w:uiPriority w:val="35"/>
    <w:unhideWhenUsed/>
    <w:qFormat/>
    <w:rsid w:val="00A54612"/>
    <w:pPr>
      <w:widowControl/>
      <w:tabs>
        <w:tab w:val="clear" w:pos="1189"/>
      </w:tabs>
      <w:autoSpaceDE/>
      <w:autoSpaceDN/>
      <w:spacing w:after="200" w:line="240" w:lineRule="auto"/>
      <w:ind w:right="0"/>
      <w:jc w:val="left"/>
    </w:pPr>
    <w:rPr>
      <w:rFonts w:ascii="Calibri" w:eastAsia="Calibri" w:hAnsi="Calibri" w:cs="Arial"/>
      <w:i/>
      <w:iCs/>
      <w:color w:val="44546A"/>
      <w:sz w:val="18"/>
      <w:szCs w:val="18"/>
      <w:lang w:val="en-US"/>
    </w:rPr>
  </w:style>
  <w:style w:type="paragraph" w:customStyle="1" w:styleId="Body">
    <w:name w:val="_Body"/>
    <w:basedOn w:val="a"/>
    <w:qFormat/>
    <w:rsid w:val="00A54612"/>
    <w:pPr>
      <w:widowControl/>
      <w:tabs>
        <w:tab w:val="clear" w:pos="1189"/>
      </w:tabs>
      <w:autoSpaceDE/>
      <w:autoSpaceDN/>
      <w:spacing w:after="240" w:line="240" w:lineRule="auto"/>
      <w:ind w:right="0"/>
    </w:pPr>
    <w:rPr>
      <w:rFonts w:ascii="Calibri" w:eastAsia="Calibri" w:hAnsi="Calibri" w:cs="Calibri"/>
      <w:kern w:val="8"/>
      <w:sz w:val="24"/>
      <w:lang w:val="en-GB"/>
    </w:rPr>
  </w:style>
  <w:style w:type="paragraph" w:customStyle="1" w:styleId="ti-art">
    <w:name w:val="ti-art"/>
    <w:basedOn w:val="a"/>
    <w:rsid w:val="00A54612"/>
    <w:pPr>
      <w:widowControl/>
      <w:tabs>
        <w:tab w:val="clear" w:pos="1189"/>
      </w:tabs>
      <w:autoSpaceDE/>
      <w:autoSpaceDN/>
      <w:spacing w:before="100" w:beforeAutospacing="1" w:after="100" w:afterAutospacing="1" w:line="240" w:lineRule="auto"/>
      <w:ind w:right="0"/>
      <w:jc w:val="left"/>
    </w:pPr>
    <w:rPr>
      <w:rFonts w:ascii="Times New Roman" w:hAnsi="Times New Roman" w:cs="Times New Roman"/>
      <w:sz w:val="24"/>
      <w:szCs w:val="24"/>
      <w:lang w:val="en-GB" w:eastAsia="en-GB"/>
    </w:rPr>
  </w:style>
  <w:style w:type="paragraph" w:customStyle="1" w:styleId="13">
    <w:name w:val="Επικεφαλίδα ΠΠ1"/>
    <w:basedOn w:val="1"/>
    <w:next w:val="a"/>
    <w:uiPriority w:val="39"/>
    <w:unhideWhenUsed/>
    <w:qFormat/>
    <w:rsid w:val="00A54612"/>
    <w:pPr>
      <w:keepNext/>
      <w:keepLines/>
      <w:widowControl/>
      <w:tabs>
        <w:tab w:val="clear" w:pos="1189"/>
      </w:tabs>
      <w:autoSpaceDE/>
      <w:autoSpaceDN/>
      <w:spacing w:before="240" w:after="0" w:line="259" w:lineRule="auto"/>
      <w:ind w:left="0" w:right="0"/>
      <w:jc w:val="left"/>
      <w:outlineLvl w:val="9"/>
    </w:pPr>
    <w:rPr>
      <w:rFonts w:ascii="Calibri Light" w:hAnsi="Calibri Light"/>
      <w:b w:val="0"/>
      <w:bCs w:val="0"/>
      <w:color w:val="2F5496"/>
      <w:sz w:val="32"/>
      <w:szCs w:val="32"/>
      <w:lang w:val="en-US"/>
    </w:rPr>
  </w:style>
  <w:style w:type="paragraph" w:customStyle="1" w:styleId="110">
    <w:name w:val="ΠΠ 11"/>
    <w:basedOn w:val="a"/>
    <w:next w:val="a"/>
    <w:autoRedefine/>
    <w:uiPriority w:val="39"/>
    <w:unhideWhenUsed/>
    <w:rsid w:val="00A54612"/>
    <w:pPr>
      <w:widowControl/>
      <w:tabs>
        <w:tab w:val="clear" w:pos="1189"/>
        <w:tab w:val="left" w:pos="440"/>
        <w:tab w:val="right" w:leader="dot" w:pos="8630"/>
      </w:tabs>
      <w:autoSpaceDE/>
      <w:autoSpaceDN/>
      <w:spacing w:before="120" w:after="0" w:line="240" w:lineRule="auto"/>
      <w:ind w:right="0"/>
      <w:jc w:val="left"/>
    </w:pPr>
    <w:rPr>
      <w:rFonts w:ascii="Calibri" w:eastAsia="Calibri" w:hAnsi="Calibri" w:cs="Arial"/>
      <w:b/>
      <w:bCs/>
      <w:noProof/>
      <w:lang w:val="en-US"/>
    </w:rPr>
  </w:style>
  <w:style w:type="paragraph" w:customStyle="1" w:styleId="21">
    <w:name w:val="ΠΠ 21"/>
    <w:basedOn w:val="a"/>
    <w:next w:val="a"/>
    <w:autoRedefine/>
    <w:uiPriority w:val="39"/>
    <w:unhideWhenUsed/>
    <w:rsid w:val="00A54612"/>
    <w:pPr>
      <w:widowControl/>
      <w:tabs>
        <w:tab w:val="clear" w:pos="1189"/>
        <w:tab w:val="left" w:pos="880"/>
        <w:tab w:val="right" w:leader="dot" w:pos="8630"/>
      </w:tabs>
      <w:autoSpaceDE/>
      <w:autoSpaceDN/>
      <w:spacing w:before="60" w:after="0" w:line="240" w:lineRule="auto"/>
      <w:ind w:left="221" w:right="0"/>
      <w:jc w:val="left"/>
    </w:pPr>
    <w:rPr>
      <w:rFonts w:ascii="Calibri" w:eastAsia="Calibri" w:hAnsi="Calibri" w:cs="Arial"/>
      <w:noProof/>
      <w:sz w:val="20"/>
      <w:szCs w:val="20"/>
      <w:lang w:val="en-US"/>
    </w:rPr>
  </w:style>
  <w:style w:type="paragraph" w:customStyle="1" w:styleId="31">
    <w:name w:val="ΠΠ 31"/>
    <w:basedOn w:val="a"/>
    <w:next w:val="a"/>
    <w:autoRedefine/>
    <w:uiPriority w:val="39"/>
    <w:unhideWhenUsed/>
    <w:rsid w:val="00A54612"/>
    <w:pPr>
      <w:widowControl/>
      <w:tabs>
        <w:tab w:val="clear" w:pos="1189"/>
        <w:tab w:val="left" w:pos="1320"/>
        <w:tab w:val="right" w:leader="dot" w:pos="8630"/>
      </w:tabs>
      <w:autoSpaceDE/>
      <w:autoSpaceDN/>
      <w:spacing w:after="0" w:line="240" w:lineRule="auto"/>
      <w:ind w:left="442" w:right="0"/>
      <w:jc w:val="left"/>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04519">
      <w:bodyDiv w:val="1"/>
      <w:marLeft w:val="0"/>
      <w:marRight w:val="0"/>
      <w:marTop w:val="0"/>
      <w:marBottom w:val="0"/>
      <w:divBdr>
        <w:top w:val="none" w:sz="0" w:space="0" w:color="auto"/>
        <w:left w:val="none" w:sz="0" w:space="0" w:color="auto"/>
        <w:bottom w:val="none" w:sz="0" w:space="0" w:color="auto"/>
        <w:right w:val="none" w:sz="0" w:space="0" w:color="auto"/>
      </w:divBdr>
    </w:div>
    <w:div w:id="532498796">
      <w:bodyDiv w:val="1"/>
      <w:marLeft w:val="0"/>
      <w:marRight w:val="0"/>
      <w:marTop w:val="0"/>
      <w:marBottom w:val="0"/>
      <w:divBdr>
        <w:top w:val="none" w:sz="0" w:space="0" w:color="auto"/>
        <w:left w:val="none" w:sz="0" w:space="0" w:color="auto"/>
        <w:bottom w:val="none" w:sz="0" w:space="0" w:color="auto"/>
        <w:right w:val="none" w:sz="0" w:space="0" w:color="auto"/>
      </w:divBdr>
    </w:div>
    <w:div w:id="696352020">
      <w:bodyDiv w:val="1"/>
      <w:marLeft w:val="0"/>
      <w:marRight w:val="0"/>
      <w:marTop w:val="0"/>
      <w:marBottom w:val="0"/>
      <w:divBdr>
        <w:top w:val="none" w:sz="0" w:space="0" w:color="auto"/>
        <w:left w:val="none" w:sz="0" w:space="0" w:color="auto"/>
        <w:bottom w:val="none" w:sz="0" w:space="0" w:color="auto"/>
        <w:right w:val="none" w:sz="0" w:space="0" w:color="auto"/>
      </w:divBdr>
    </w:div>
    <w:div w:id="986007247">
      <w:bodyDiv w:val="1"/>
      <w:marLeft w:val="0"/>
      <w:marRight w:val="0"/>
      <w:marTop w:val="0"/>
      <w:marBottom w:val="0"/>
      <w:divBdr>
        <w:top w:val="none" w:sz="0" w:space="0" w:color="auto"/>
        <w:left w:val="none" w:sz="0" w:space="0" w:color="auto"/>
        <w:bottom w:val="none" w:sz="0" w:space="0" w:color="auto"/>
        <w:right w:val="none" w:sz="0" w:space="0" w:color="auto"/>
      </w:divBdr>
    </w:div>
    <w:div w:id="1254362568">
      <w:bodyDiv w:val="1"/>
      <w:marLeft w:val="0"/>
      <w:marRight w:val="0"/>
      <w:marTop w:val="0"/>
      <w:marBottom w:val="0"/>
      <w:divBdr>
        <w:top w:val="none" w:sz="0" w:space="0" w:color="auto"/>
        <w:left w:val="none" w:sz="0" w:space="0" w:color="auto"/>
        <w:bottom w:val="none" w:sz="0" w:space="0" w:color="auto"/>
        <w:right w:val="none" w:sz="0" w:space="0" w:color="auto"/>
      </w:divBdr>
    </w:div>
    <w:div w:id="1337655878">
      <w:bodyDiv w:val="1"/>
      <w:marLeft w:val="0"/>
      <w:marRight w:val="0"/>
      <w:marTop w:val="0"/>
      <w:marBottom w:val="0"/>
      <w:divBdr>
        <w:top w:val="none" w:sz="0" w:space="0" w:color="auto"/>
        <w:left w:val="none" w:sz="0" w:space="0" w:color="auto"/>
        <w:bottom w:val="none" w:sz="0" w:space="0" w:color="auto"/>
        <w:right w:val="none" w:sz="0" w:space="0" w:color="auto"/>
      </w:divBdr>
    </w:div>
    <w:div w:id="1942254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res@rae.gr" TargetMode="External"/><Relationship Id="rId18" Type="http://schemas.openxmlformats.org/officeDocument/2006/relationships/hyperlink" Target="mailto:guarantee@rae.gr" TargetMode="External"/><Relationship Id="rId26" Type="http://schemas.openxmlformats.org/officeDocument/2006/relationships/hyperlink" Target="mailto:guarantee@rae.gr" TargetMode="External"/><Relationship Id="rId39" Type="http://schemas.openxmlformats.org/officeDocument/2006/relationships/package" Target="embeddings/Microsoft_Visio_Drawing.vsdx"/><Relationship Id="rId21" Type="http://schemas.openxmlformats.org/officeDocument/2006/relationships/footer" Target="footer1.xml"/><Relationship Id="rId34" Type="http://schemas.openxmlformats.org/officeDocument/2006/relationships/footer" Target="footer6.xml"/><Relationship Id="rId42" Type="http://schemas.openxmlformats.org/officeDocument/2006/relationships/image" Target="media/image7.emf"/><Relationship Id="rId47" Type="http://schemas.openxmlformats.org/officeDocument/2006/relationships/oleObject" Target="embeddings/Microsoft_Visio_2003-2010_Drawing.vsd"/><Relationship Id="rId50" Type="http://schemas.openxmlformats.org/officeDocument/2006/relationships/image" Target="media/image11.emf"/><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v.gr" TargetMode="External"/><Relationship Id="rId29" Type="http://schemas.openxmlformats.org/officeDocument/2006/relationships/footer" Target="footer3.xml"/><Relationship Id="rId11" Type="http://schemas.openxmlformats.org/officeDocument/2006/relationships/hyperlink" Target="mailto:tenderres@rae.gr" TargetMode="External"/><Relationship Id="rId24" Type="http://schemas.openxmlformats.org/officeDocument/2006/relationships/hyperlink" Target="mailto:guarantee@rae.gr" TargetMode="External"/><Relationship Id="rId32" Type="http://schemas.openxmlformats.org/officeDocument/2006/relationships/footer" Target="footer5.xml"/><Relationship Id="rId37" Type="http://schemas.openxmlformats.org/officeDocument/2006/relationships/image" Target="media/image4.png"/><Relationship Id="rId40" Type="http://schemas.openxmlformats.org/officeDocument/2006/relationships/image" Target="media/image6.emf"/><Relationship Id="rId45" Type="http://schemas.openxmlformats.org/officeDocument/2006/relationships/package" Target="embeddings/Microsoft_Visio_Drawing4.vsdx"/><Relationship Id="rId53" Type="http://schemas.openxmlformats.org/officeDocument/2006/relationships/image" Target="media/image13.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guarantee@rae.gr" TargetMode="External"/><Relationship Id="rId4" Type="http://schemas.openxmlformats.org/officeDocument/2006/relationships/settings" Target="settings.xml"/><Relationship Id="rId9" Type="http://schemas.openxmlformats.org/officeDocument/2006/relationships/hyperlink" Target="http://www.rae.gr" TargetMode="External"/><Relationship Id="rId14" Type="http://schemas.openxmlformats.org/officeDocument/2006/relationships/hyperlink" Target="https://licensing.rae.gr/"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image" Target="media/image2.png"/><Relationship Id="rId43" Type="http://schemas.openxmlformats.org/officeDocument/2006/relationships/package" Target="embeddings/Microsoft_Visio_Drawing2.vsdx"/><Relationship Id="rId48" Type="http://schemas.openxmlformats.org/officeDocument/2006/relationships/image" Target="media/image10.emf"/><Relationship Id="rId56" Type="http://schemas.openxmlformats.org/officeDocument/2006/relationships/footer" Target="footer7.xml"/><Relationship Id="rId8" Type="http://schemas.openxmlformats.org/officeDocument/2006/relationships/image" Target="media/image1.png"/><Relationship Id="rId51" Type="http://schemas.openxmlformats.org/officeDocument/2006/relationships/package" Target="embeddings/Microsoft_Visio_Drawing3.vsdx"/><Relationship Id="rId3" Type="http://schemas.openxmlformats.org/officeDocument/2006/relationships/styles" Target="styles.xml"/><Relationship Id="rId12" Type="http://schemas.openxmlformats.org/officeDocument/2006/relationships/hyperlink" Target="http://www.gov.gr" TargetMode="External"/><Relationship Id="rId17" Type="http://schemas.openxmlformats.org/officeDocument/2006/relationships/hyperlink" Target="http://www.gov.gr" TargetMode="External"/><Relationship Id="rId25" Type="http://schemas.openxmlformats.org/officeDocument/2006/relationships/hyperlink" Target="mailto:guarantee@rae.gr" TargetMode="External"/><Relationship Id="rId33" Type="http://schemas.openxmlformats.org/officeDocument/2006/relationships/header" Target="header5.xml"/><Relationship Id="rId38" Type="http://schemas.openxmlformats.org/officeDocument/2006/relationships/image" Target="media/image5.emf"/><Relationship Id="rId46" Type="http://schemas.openxmlformats.org/officeDocument/2006/relationships/image" Target="media/image9.emf"/><Relationship Id="rId20" Type="http://schemas.openxmlformats.org/officeDocument/2006/relationships/hyperlink" Target="mailto:guarantee@rae.gr" TargetMode="External"/><Relationship Id="rId41" Type="http://schemas.openxmlformats.org/officeDocument/2006/relationships/package" Target="embeddings/Microsoft_Visio_Drawing1.vsdx"/><Relationship Id="rId54"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censing.rae.gr/" TargetMode="External"/><Relationship Id="rId23" Type="http://schemas.openxmlformats.org/officeDocument/2006/relationships/footer" Target="footer2.xml"/><Relationship Id="rId28" Type="http://schemas.openxmlformats.org/officeDocument/2006/relationships/header" Target="header3.xml"/><Relationship Id="rId36" Type="http://schemas.openxmlformats.org/officeDocument/2006/relationships/image" Target="media/image3.png"/><Relationship Id="rId49" Type="http://schemas.openxmlformats.org/officeDocument/2006/relationships/package" Target="embeddings/Microsoft_Visio_Drawing21.vsdx"/><Relationship Id="rId57" Type="http://schemas.openxmlformats.org/officeDocument/2006/relationships/fontTable" Target="fontTable.xml"/><Relationship Id="rId10" Type="http://schemas.openxmlformats.org/officeDocument/2006/relationships/hyperlink" Target="http://www.rae.gr" TargetMode="External"/><Relationship Id="rId31" Type="http://schemas.openxmlformats.org/officeDocument/2006/relationships/header" Target="header4.xml"/><Relationship Id="rId44" Type="http://schemas.openxmlformats.org/officeDocument/2006/relationships/image" Target="media/image8.emf"/><Relationship Id="rId52" Type="http://schemas.openxmlformats.org/officeDocument/2006/relationships/image" Target="media/image12.png"/></Relationships>
</file>

<file path=word/_rels/footnotes.xml.rels><?xml version="1.0" encoding="UTF-8" standalone="yes"?>
<Relationships xmlns="http://schemas.openxmlformats.org/package/2006/relationships"><Relationship Id="rId1" Type="http://schemas.openxmlformats.org/officeDocument/2006/relationships/hyperlink" Target="https://greece20.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7772F-BA59-417C-8CD8-4FB62E0A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101</Pages>
  <Words>39180</Words>
  <Characters>211575</Characters>
  <Application>Microsoft Office Word</Application>
  <DocSecurity>4</DocSecurity>
  <Lines>1763</Lines>
  <Paragraphs>500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Microsoft Word - ‚€ﾟ¦‚£Š 488_2022_€¡ﾟıŠ¡¥žŠ ‚£¤¥€‚ł‚Ž‚_final_1_1.6.2022</vt:lpstr>
      <vt:lpstr>Microsoft Word - ‚€ﾟ¦‚£Š 488_2022_€¡ﾟıŠ¡¥žŠ ‚£¤¥€‚ł‚Ž‚_final_1_1.6.2022</vt:lpstr>
    </vt:vector>
  </TitlesOfParts>
  <Company/>
  <LinksUpToDate>false</LinksUpToDate>
  <CharactersWithSpaces>250255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‚€ﾟ¦‚£Š 488_2022_€¡ﾟıŠ¡¥žŠ ‚£¤¥€‚ł‚Ž‚_final_1_1.6.2022</dc:title>
  <dc:creator>Stavros Papathanassiou</dc:creator>
  <cp:lastModifiedBy>Alex Capellos</cp:lastModifiedBy>
  <cp:revision>2</cp:revision>
  <cp:lastPrinted>2023-06-15T06:53:00Z</cp:lastPrinted>
  <dcterms:created xsi:type="dcterms:W3CDTF">2023-06-16T15:16:00Z</dcterms:created>
  <dcterms:modified xsi:type="dcterms:W3CDTF">2023-06-16T15:16:00Z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LastSaved">
    <vt:filetime>2023-01-29T00:00:00Z</vt:filetime>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http://www.zotero.org/styles/applied-energy</vt:lpwstr>
  </property>
  <property fmtid="{D5CDD505-2E9C-101B-9397-08002B2CF9AE}" pid="13" name="Mendeley Recent Style Name 4_1">
    <vt:lpwstr>Applied Energy</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ies>
</file>